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3754" w14:textId="79BA0F27" w:rsidR="009C3626" w:rsidRPr="001C29C5" w:rsidRDefault="00F062AB" w:rsidP="009C3626">
      <w:pPr>
        <w:jc w:val="center"/>
        <w:rPr>
          <w:rFonts w:asciiTheme="minorHAnsi" w:hAnsiTheme="minorHAnsi" w:cstheme="minorHAnsi"/>
          <w:b/>
          <w:sz w:val="17"/>
          <w:szCs w:val="17"/>
        </w:rPr>
      </w:pPr>
      <w:r w:rsidRPr="001C29C5">
        <w:rPr>
          <w:rFonts w:asciiTheme="minorHAnsi" w:hAnsiTheme="minorHAnsi" w:cstheme="minorHAnsi"/>
          <w:b/>
          <w:sz w:val="17"/>
          <w:szCs w:val="17"/>
        </w:rPr>
        <w:tab/>
      </w:r>
    </w:p>
    <w:p w14:paraId="06E7D918" w14:textId="33D3D734" w:rsidR="009C3626" w:rsidRPr="001045B7" w:rsidRDefault="009C3626" w:rsidP="00860054">
      <w:p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t>NOTAS A LOS ESTADOS FINANCIEROS DEL PODER EJECUTIVO DEL ESTADO DE QUERÉTARO</w:t>
      </w:r>
    </w:p>
    <w:p w14:paraId="0780198E" w14:textId="53A01F28" w:rsidR="009C3626" w:rsidRPr="001045B7" w:rsidRDefault="009C3626" w:rsidP="00860054">
      <w:pPr>
        <w:spacing w:line="276" w:lineRule="auto"/>
        <w:jc w:val="both"/>
        <w:rPr>
          <w:rFonts w:asciiTheme="minorHAnsi" w:hAnsiTheme="minorHAnsi" w:cstheme="minorHAnsi"/>
          <w:sz w:val="17"/>
          <w:szCs w:val="17"/>
        </w:rPr>
      </w:pPr>
    </w:p>
    <w:p w14:paraId="58611A07" w14:textId="7FDFD8DA" w:rsidR="009C3626" w:rsidRPr="001045B7" w:rsidRDefault="009C3626"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 el propósito de dar cumplimiento a los artículos 46, fracción I, inciso g), 47, 48 y 49 de la Ley General de Contabilidad Gubernamental (</w:t>
      </w:r>
      <w:proofErr w:type="spellStart"/>
      <w:r w:rsidRPr="001045B7">
        <w:rPr>
          <w:rFonts w:asciiTheme="minorHAnsi" w:hAnsiTheme="minorHAnsi" w:cstheme="minorHAnsi"/>
          <w:sz w:val="17"/>
          <w:szCs w:val="17"/>
        </w:rPr>
        <w:t>LGCG</w:t>
      </w:r>
      <w:proofErr w:type="spellEnd"/>
      <w:r w:rsidRPr="001045B7">
        <w:rPr>
          <w:rFonts w:asciiTheme="minorHAnsi" w:hAnsiTheme="minorHAnsi" w:cstheme="minorHAnsi"/>
          <w:sz w:val="17"/>
          <w:szCs w:val="17"/>
        </w:rPr>
        <w:t xml:space="preserve">), así como a la normatividad emitida por el Consejo Nacional de Armonización Contable (CONAC), se presentan las notas a los estados financieros correspondientes al </w:t>
      </w:r>
      <w:r w:rsidR="00B4448E" w:rsidRPr="001045B7">
        <w:rPr>
          <w:rFonts w:asciiTheme="minorHAnsi" w:hAnsiTheme="minorHAnsi" w:cstheme="minorHAnsi"/>
          <w:sz w:val="17"/>
          <w:szCs w:val="17"/>
        </w:rPr>
        <w:t>3</w:t>
      </w:r>
      <w:r w:rsidR="008D66F9" w:rsidRPr="001045B7">
        <w:rPr>
          <w:rFonts w:asciiTheme="minorHAnsi" w:hAnsiTheme="minorHAnsi" w:cstheme="minorHAnsi"/>
          <w:sz w:val="17"/>
          <w:szCs w:val="17"/>
        </w:rPr>
        <w:t>1</w:t>
      </w:r>
      <w:r w:rsidR="00B4448E" w:rsidRPr="001045B7">
        <w:rPr>
          <w:rFonts w:asciiTheme="minorHAnsi" w:hAnsiTheme="minorHAnsi" w:cstheme="minorHAnsi"/>
          <w:sz w:val="17"/>
          <w:szCs w:val="17"/>
        </w:rPr>
        <w:t xml:space="preserve"> (treinta</w:t>
      </w:r>
      <w:r w:rsidR="008D66F9" w:rsidRPr="001045B7">
        <w:rPr>
          <w:rFonts w:asciiTheme="minorHAnsi" w:hAnsiTheme="minorHAnsi" w:cstheme="minorHAnsi"/>
          <w:sz w:val="17"/>
          <w:szCs w:val="17"/>
        </w:rPr>
        <w:t xml:space="preserve"> y uno</w:t>
      </w:r>
      <w:r w:rsidR="00B4448E" w:rsidRPr="001045B7">
        <w:rPr>
          <w:rFonts w:asciiTheme="minorHAnsi" w:hAnsiTheme="minorHAnsi" w:cstheme="minorHAnsi"/>
          <w:sz w:val="17"/>
          <w:szCs w:val="17"/>
        </w:rPr>
        <w:t xml:space="preserve">) de </w:t>
      </w:r>
      <w:r w:rsidR="00FD3EF7" w:rsidRPr="001045B7">
        <w:rPr>
          <w:rFonts w:asciiTheme="minorHAnsi" w:hAnsiTheme="minorHAnsi" w:cstheme="minorHAnsi"/>
          <w:sz w:val="17"/>
          <w:szCs w:val="17"/>
        </w:rPr>
        <w:t>dici</w:t>
      </w:r>
      <w:r w:rsidR="00A7078C" w:rsidRPr="001045B7">
        <w:rPr>
          <w:rFonts w:asciiTheme="minorHAnsi" w:hAnsiTheme="minorHAnsi" w:cstheme="minorHAnsi"/>
          <w:sz w:val="17"/>
          <w:szCs w:val="17"/>
        </w:rPr>
        <w:t>embre</w:t>
      </w:r>
      <w:r w:rsidR="001556DC" w:rsidRPr="001045B7">
        <w:rPr>
          <w:rFonts w:asciiTheme="minorHAnsi" w:hAnsiTheme="minorHAnsi" w:cstheme="minorHAnsi"/>
          <w:sz w:val="17"/>
          <w:szCs w:val="17"/>
        </w:rPr>
        <w:t xml:space="preserve"> del 2024</w:t>
      </w:r>
      <w:r w:rsidRPr="001045B7">
        <w:rPr>
          <w:rFonts w:asciiTheme="minorHAnsi" w:hAnsiTheme="minorHAnsi" w:cstheme="minorHAnsi"/>
          <w:sz w:val="17"/>
          <w:szCs w:val="17"/>
        </w:rPr>
        <w:t xml:space="preserve"> (dos mi</w:t>
      </w:r>
      <w:r w:rsidR="001556DC" w:rsidRPr="001045B7">
        <w:rPr>
          <w:rFonts w:asciiTheme="minorHAnsi" w:hAnsiTheme="minorHAnsi" w:cstheme="minorHAnsi"/>
          <w:sz w:val="17"/>
          <w:szCs w:val="17"/>
        </w:rPr>
        <w:t>l veinticuatro</w:t>
      </w:r>
      <w:r w:rsidRPr="001045B7">
        <w:rPr>
          <w:rFonts w:asciiTheme="minorHAnsi" w:hAnsiTheme="minorHAnsi" w:cstheme="minorHAnsi"/>
          <w:sz w:val="17"/>
          <w:szCs w:val="17"/>
        </w:rPr>
        <w:t>), teniendo presente los postulados de revelación suficiente e importancia relativa con la finalidad de que la información sea de mayor utilidad para los usuarios. Los tres tipos de notas que se acompañan a los estados financieros, son:</w:t>
      </w:r>
    </w:p>
    <w:p w14:paraId="753EE656" w14:textId="77777777" w:rsidR="00E54130" w:rsidRPr="001045B7" w:rsidRDefault="00E54130" w:rsidP="00860054">
      <w:pPr>
        <w:spacing w:line="276" w:lineRule="auto"/>
        <w:jc w:val="both"/>
        <w:rPr>
          <w:rFonts w:asciiTheme="minorHAnsi" w:hAnsiTheme="minorHAnsi" w:cstheme="minorHAnsi"/>
          <w:sz w:val="17"/>
          <w:szCs w:val="17"/>
        </w:rPr>
      </w:pPr>
    </w:p>
    <w:p w14:paraId="7552B5D8" w14:textId="77777777" w:rsidR="009C3626" w:rsidRPr="001045B7" w:rsidRDefault="009C3626" w:rsidP="001556DC">
      <w:pPr>
        <w:spacing w:line="276" w:lineRule="auto"/>
        <w:jc w:val="both"/>
        <w:rPr>
          <w:rFonts w:asciiTheme="minorHAnsi" w:hAnsiTheme="minorHAnsi" w:cstheme="minorHAnsi"/>
          <w:sz w:val="17"/>
          <w:szCs w:val="17"/>
        </w:rPr>
      </w:pPr>
    </w:p>
    <w:p w14:paraId="334B2170" w14:textId="4D228FF8" w:rsidR="009C3626" w:rsidRPr="001045B7" w:rsidRDefault="009C3626" w:rsidP="00860054">
      <w:pPr>
        <w:pStyle w:val="Prrafodelista"/>
        <w:numPr>
          <w:ilvl w:val="0"/>
          <w:numId w:val="24"/>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Notas de gestión administrativa,</w:t>
      </w:r>
    </w:p>
    <w:p w14:paraId="6B6B218D" w14:textId="415A502F" w:rsidR="009C3626" w:rsidRPr="001045B7" w:rsidRDefault="009C3626" w:rsidP="00860054">
      <w:pPr>
        <w:pStyle w:val="Prrafodelista"/>
        <w:numPr>
          <w:ilvl w:val="0"/>
          <w:numId w:val="24"/>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Notas de desglose, y</w:t>
      </w:r>
    </w:p>
    <w:p w14:paraId="796AFCE4" w14:textId="06AB0C38" w:rsidR="009C3626" w:rsidRPr="001045B7" w:rsidRDefault="009C3626" w:rsidP="00860054">
      <w:pPr>
        <w:pStyle w:val="Prrafodelista"/>
        <w:numPr>
          <w:ilvl w:val="0"/>
          <w:numId w:val="24"/>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Notas de memoria (cuentas de orden).</w:t>
      </w:r>
    </w:p>
    <w:p w14:paraId="316BBCDA" w14:textId="54F861A8" w:rsidR="009C3626" w:rsidRPr="001045B7" w:rsidRDefault="009C3626" w:rsidP="00860054">
      <w:pPr>
        <w:spacing w:line="276" w:lineRule="auto"/>
        <w:jc w:val="both"/>
        <w:rPr>
          <w:rFonts w:asciiTheme="minorHAnsi" w:hAnsiTheme="minorHAnsi" w:cstheme="minorHAnsi"/>
          <w:sz w:val="17"/>
          <w:szCs w:val="17"/>
        </w:rPr>
      </w:pPr>
    </w:p>
    <w:p w14:paraId="546B8866" w14:textId="4A88D4B5" w:rsidR="009310F5" w:rsidRPr="001045B7" w:rsidRDefault="009C3626" w:rsidP="00860054">
      <w:pPr>
        <w:pStyle w:val="Prrafodelista"/>
        <w:numPr>
          <w:ilvl w:val="0"/>
          <w:numId w:val="25"/>
        </w:num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t>N</w:t>
      </w:r>
      <w:r w:rsidR="009310F5" w:rsidRPr="001045B7">
        <w:rPr>
          <w:rFonts w:asciiTheme="minorHAnsi" w:hAnsiTheme="minorHAnsi" w:cstheme="minorHAnsi"/>
          <w:b/>
          <w:sz w:val="17"/>
          <w:szCs w:val="17"/>
        </w:rPr>
        <w:t>OTAS DE GESTIÓN ADMIN</w:t>
      </w:r>
      <w:r w:rsidR="008D66F9" w:rsidRPr="001045B7">
        <w:rPr>
          <w:rFonts w:asciiTheme="minorHAnsi" w:hAnsiTheme="minorHAnsi" w:cstheme="minorHAnsi"/>
          <w:b/>
          <w:sz w:val="17"/>
          <w:szCs w:val="17"/>
        </w:rPr>
        <w:t>I</w:t>
      </w:r>
      <w:r w:rsidR="009310F5" w:rsidRPr="001045B7">
        <w:rPr>
          <w:rFonts w:asciiTheme="minorHAnsi" w:hAnsiTheme="minorHAnsi" w:cstheme="minorHAnsi"/>
          <w:b/>
          <w:sz w:val="17"/>
          <w:szCs w:val="17"/>
        </w:rPr>
        <w:t>STRATIVA</w:t>
      </w:r>
    </w:p>
    <w:p w14:paraId="1AD88F26" w14:textId="4AAE8931" w:rsidR="009310F5" w:rsidRPr="001045B7" w:rsidRDefault="009310F5" w:rsidP="00860054">
      <w:pPr>
        <w:spacing w:line="276" w:lineRule="auto"/>
        <w:jc w:val="both"/>
        <w:rPr>
          <w:rFonts w:asciiTheme="minorHAnsi" w:hAnsiTheme="minorHAnsi" w:cstheme="minorHAnsi"/>
          <w:b/>
          <w:sz w:val="17"/>
          <w:szCs w:val="17"/>
        </w:rPr>
      </w:pPr>
    </w:p>
    <w:p w14:paraId="12652607"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Los Estados Financieros de los entes públicos, proveen de información financiera a los principales usuarios de la misma, entre ellos está la H. Legislatura del Estado de Querétaro, así como a la ciudadanía en general que demanda información en tiempo sobre la situación contable del Poder Ejecutivo del Estado de Querétaro.</w:t>
      </w:r>
    </w:p>
    <w:p w14:paraId="4D70A2B3" w14:textId="77777777" w:rsidR="009310F5" w:rsidRPr="001045B7" w:rsidRDefault="009310F5" w:rsidP="00860054">
      <w:pPr>
        <w:spacing w:line="276" w:lineRule="auto"/>
        <w:jc w:val="both"/>
        <w:rPr>
          <w:rFonts w:asciiTheme="minorHAnsi" w:hAnsiTheme="minorHAnsi" w:cstheme="minorHAnsi"/>
          <w:sz w:val="17"/>
          <w:szCs w:val="17"/>
        </w:rPr>
      </w:pPr>
    </w:p>
    <w:p w14:paraId="751E83CB" w14:textId="6695CA00"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El objetivo del presente documento es la revelación del contexto y de los aspectos económicos financieros más relevantes que influyeron en las decisiones del período, que comprende 01 (primero) de enero al </w:t>
      </w:r>
      <w:r w:rsidR="00567890" w:rsidRPr="001045B7">
        <w:rPr>
          <w:rFonts w:asciiTheme="minorHAnsi" w:hAnsiTheme="minorHAnsi" w:cstheme="minorHAnsi"/>
          <w:sz w:val="17"/>
          <w:szCs w:val="17"/>
        </w:rPr>
        <w:t>3</w:t>
      </w:r>
      <w:r w:rsidR="000032A0" w:rsidRPr="001045B7">
        <w:rPr>
          <w:rFonts w:asciiTheme="minorHAnsi" w:hAnsiTheme="minorHAnsi" w:cstheme="minorHAnsi"/>
          <w:sz w:val="17"/>
          <w:szCs w:val="17"/>
        </w:rPr>
        <w:t>1</w:t>
      </w:r>
      <w:r w:rsidR="00567890" w:rsidRPr="001045B7">
        <w:rPr>
          <w:rFonts w:asciiTheme="minorHAnsi" w:hAnsiTheme="minorHAnsi" w:cstheme="minorHAnsi"/>
          <w:sz w:val="17"/>
          <w:szCs w:val="17"/>
        </w:rPr>
        <w:t xml:space="preserve"> (treinta</w:t>
      </w:r>
      <w:r w:rsidR="000032A0" w:rsidRPr="001045B7">
        <w:rPr>
          <w:rFonts w:asciiTheme="minorHAnsi" w:hAnsiTheme="minorHAnsi" w:cstheme="minorHAnsi"/>
          <w:sz w:val="17"/>
          <w:szCs w:val="17"/>
        </w:rPr>
        <w:t xml:space="preserve"> y uno</w:t>
      </w:r>
      <w:r w:rsidR="00567890" w:rsidRPr="001045B7">
        <w:rPr>
          <w:rFonts w:asciiTheme="minorHAnsi" w:hAnsiTheme="minorHAnsi" w:cstheme="minorHAnsi"/>
          <w:sz w:val="17"/>
          <w:szCs w:val="17"/>
        </w:rPr>
        <w:t xml:space="preserve">) de </w:t>
      </w:r>
      <w:r w:rsidR="000032A0" w:rsidRPr="001045B7">
        <w:rPr>
          <w:rFonts w:asciiTheme="minorHAnsi" w:hAnsiTheme="minorHAnsi" w:cstheme="minorHAnsi"/>
          <w:sz w:val="17"/>
          <w:szCs w:val="17"/>
        </w:rPr>
        <w:t>dici</w:t>
      </w:r>
      <w:r w:rsidR="00567890" w:rsidRPr="001045B7">
        <w:rPr>
          <w:rFonts w:asciiTheme="minorHAnsi" w:hAnsiTheme="minorHAnsi" w:cstheme="minorHAnsi"/>
          <w:sz w:val="17"/>
          <w:szCs w:val="17"/>
        </w:rPr>
        <w:t>embre</w:t>
      </w:r>
      <w:r w:rsidR="001556DC" w:rsidRPr="001045B7">
        <w:rPr>
          <w:rFonts w:asciiTheme="minorHAnsi" w:hAnsiTheme="minorHAnsi" w:cstheme="minorHAnsi"/>
          <w:sz w:val="17"/>
          <w:szCs w:val="17"/>
        </w:rPr>
        <w:t xml:space="preserve"> del 2024 (dos mil veinticuatro</w:t>
      </w:r>
      <w:r w:rsidRPr="001045B7">
        <w:rPr>
          <w:rFonts w:asciiTheme="minorHAnsi" w:hAnsiTheme="minorHAnsi" w:cstheme="minorHAnsi"/>
          <w:sz w:val="17"/>
          <w:szCs w:val="17"/>
        </w:rPr>
        <w:t>), y que se consideraron en la elaboración de los Estados Financieros para la mayor comprensión de los mismos y sus particularidades.</w:t>
      </w:r>
    </w:p>
    <w:p w14:paraId="2EB2E9A0" w14:textId="77777777" w:rsidR="009310F5" w:rsidRPr="001045B7" w:rsidRDefault="009310F5" w:rsidP="00860054">
      <w:pPr>
        <w:spacing w:line="276" w:lineRule="auto"/>
        <w:jc w:val="both"/>
        <w:rPr>
          <w:rFonts w:asciiTheme="minorHAnsi" w:hAnsiTheme="minorHAnsi" w:cstheme="minorHAnsi"/>
          <w:sz w:val="17"/>
          <w:szCs w:val="17"/>
        </w:rPr>
      </w:pPr>
    </w:p>
    <w:p w14:paraId="24D209AC" w14:textId="06003053"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504A9D25" w14:textId="77777777" w:rsidR="009310F5" w:rsidRPr="001045B7" w:rsidRDefault="009310F5" w:rsidP="00860054">
      <w:pPr>
        <w:spacing w:line="276" w:lineRule="auto"/>
        <w:jc w:val="both"/>
        <w:rPr>
          <w:rFonts w:asciiTheme="minorHAnsi" w:hAnsiTheme="minorHAnsi" w:cstheme="minorHAnsi"/>
          <w:sz w:val="17"/>
          <w:szCs w:val="17"/>
        </w:rPr>
      </w:pPr>
    </w:p>
    <w:p w14:paraId="6F35E112" w14:textId="21C027E9" w:rsidR="009310F5" w:rsidRPr="001045B7" w:rsidRDefault="009310F5" w:rsidP="00860054">
      <w:pPr>
        <w:spacing w:line="276" w:lineRule="auto"/>
        <w:jc w:val="both"/>
        <w:rPr>
          <w:rFonts w:asciiTheme="minorHAnsi" w:hAnsiTheme="minorHAnsi" w:cstheme="minorHAnsi"/>
          <w:b/>
          <w:sz w:val="17"/>
          <w:szCs w:val="17"/>
        </w:rPr>
      </w:pPr>
    </w:p>
    <w:p w14:paraId="7AD64CB2" w14:textId="53E68DBA" w:rsidR="009310F5" w:rsidRPr="001045B7" w:rsidRDefault="009310F5"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Autorización e Historia</w:t>
      </w:r>
    </w:p>
    <w:p w14:paraId="0A4938AF" w14:textId="77777777" w:rsidR="009310F5" w:rsidRPr="001045B7" w:rsidRDefault="009310F5" w:rsidP="00860054">
      <w:pPr>
        <w:spacing w:line="276" w:lineRule="auto"/>
        <w:jc w:val="both"/>
        <w:rPr>
          <w:rFonts w:asciiTheme="minorHAnsi" w:hAnsiTheme="minorHAnsi" w:cstheme="minorHAnsi"/>
          <w:sz w:val="17"/>
          <w:szCs w:val="17"/>
        </w:rPr>
      </w:pPr>
    </w:p>
    <w:p w14:paraId="36105A55"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Desde el 04 de octubre de 1824, se establece en México la República Federal, y a través de la Constitución incluye a Querétaro como Estado de la Federación. Ahora bien, el artículo 1° de la Constitución Política del Estado Libre y Soberano de Querétaro, establece:</w:t>
      </w:r>
    </w:p>
    <w:p w14:paraId="2C6630AB" w14:textId="77777777" w:rsidR="009310F5" w:rsidRPr="001045B7" w:rsidRDefault="009310F5" w:rsidP="00860054">
      <w:pPr>
        <w:spacing w:line="276" w:lineRule="auto"/>
        <w:jc w:val="both"/>
        <w:rPr>
          <w:rFonts w:asciiTheme="minorHAnsi" w:hAnsiTheme="minorHAnsi" w:cstheme="minorHAnsi"/>
          <w:sz w:val="17"/>
          <w:szCs w:val="17"/>
        </w:rPr>
      </w:pPr>
    </w:p>
    <w:p w14:paraId="6765D607" w14:textId="5C6C36A9" w:rsidR="009310F5" w:rsidRPr="001045B7" w:rsidRDefault="009310F5" w:rsidP="00860054">
      <w:pPr>
        <w:spacing w:line="276" w:lineRule="auto"/>
        <w:ind w:left="708"/>
        <w:jc w:val="both"/>
        <w:rPr>
          <w:rFonts w:asciiTheme="minorHAnsi" w:hAnsiTheme="minorHAnsi" w:cstheme="minorHAnsi"/>
          <w:i/>
          <w:sz w:val="17"/>
          <w:szCs w:val="17"/>
        </w:rPr>
      </w:pPr>
      <w:proofErr w:type="gramStart"/>
      <w:r w:rsidRPr="001045B7">
        <w:rPr>
          <w:rFonts w:asciiTheme="minorHAnsi" w:hAnsiTheme="minorHAnsi" w:cstheme="minorHAnsi"/>
          <w:sz w:val="17"/>
          <w:szCs w:val="17"/>
        </w:rPr>
        <w:t>…“</w:t>
      </w:r>
      <w:proofErr w:type="gramEnd"/>
      <w:r w:rsidRPr="001045B7">
        <w:rPr>
          <w:rFonts w:asciiTheme="minorHAnsi" w:hAnsiTheme="minorHAnsi" w:cstheme="minorHAnsi"/>
          <w:i/>
          <w:sz w:val="17"/>
          <w:szCs w:val="17"/>
        </w:rPr>
        <w:t>El Estado Libre y Soberano de Querétaro es parte integrante de la Federación Mexicana, es libre y autónomo en lo que se refiere a su régimen interno y sólo delega sus facultades en los Poderes Federales, en todo aquello que fije expresamente la Constitución Política de los Estados Unidos Mexicanos. (Ref. P. O. No. 64, 23-VIII-19</w:t>
      </w:r>
      <w:proofErr w:type="gramStart"/>
      <w:r w:rsidRPr="001045B7">
        <w:rPr>
          <w:rFonts w:asciiTheme="minorHAnsi" w:hAnsiTheme="minorHAnsi" w:cstheme="minorHAnsi"/>
          <w:i/>
          <w:sz w:val="17"/>
          <w:szCs w:val="17"/>
        </w:rPr>
        <w:t>)”…</w:t>
      </w:r>
      <w:proofErr w:type="gramEnd"/>
    </w:p>
    <w:p w14:paraId="3E79C95C" w14:textId="77777777" w:rsidR="009310F5" w:rsidRPr="001045B7" w:rsidRDefault="009310F5" w:rsidP="00860054">
      <w:pPr>
        <w:spacing w:line="276" w:lineRule="auto"/>
        <w:jc w:val="both"/>
        <w:rPr>
          <w:rFonts w:asciiTheme="minorHAnsi" w:hAnsiTheme="minorHAnsi" w:cstheme="minorHAnsi"/>
          <w:i/>
          <w:sz w:val="17"/>
          <w:szCs w:val="17"/>
        </w:rPr>
      </w:pPr>
    </w:p>
    <w:p w14:paraId="48D0B671"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el artículo 13 del mismo ordenamiento legal, establece: </w:t>
      </w:r>
    </w:p>
    <w:p w14:paraId="09F3D61C" w14:textId="77777777" w:rsidR="009310F5" w:rsidRPr="001045B7" w:rsidRDefault="009310F5" w:rsidP="00860054">
      <w:pPr>
        <w:spacing w:line="276" w:lineRule="auto"/>
        <w:jc w:val="both"/>
        <w:rPr>
          <w:rFonts w:asciiTheme="minorHAnsi" w:hAnsiTheme="minorHAnsi" w:cstheme="minorHAnsi"/>
          <w:sz w:val="17"/>
          <w:szCs w:val="17"/>
        </w:rPr>
      </w:pPr>
    </w:p>
    <w:p w14:paraId="6A69A777" w14:textId="696BB5A9" w:rsidR="009310F5" w:rsidRPr="001045B7" w:rsidRDefault="009310F5" w:rsidP="00860054">
      <w:pPr>
        <w:spacing w:line="276" w:lineRule="auto"/>
        <w:ind w:firstLine="708"/>
        <w:jc w:val="both"/>
        <w:rPr>
          <w:rFonts w:asciiTheme="minorHAnsi" w:hAnsiTheme="minorHAnsi" w:cstheme="minorHAnsi"/>
          <w:i/>
          <w:sz w:val="17"/>
          <w:szCs w:val="17"/>
        </w:rPr>
      </w:pPr>
      <w:r w:rsidRPr="001045B7">
        <w:rPr>
          <w:rFonts w:asciiTheme="minorHAnsi" w:hAnsiTheme="minorHAnsi" w:cstheme="minorHAnsi"/>
          <w:i/>
          <w:sz w:val="17"/>
          <w:szCs w:val="17"/>
        </w:rPr>
        <w:t>“El Poder Público del Estado se divide para su ejercicio en las funciones: Legislativa, Ejecutiva y Judicial…”</w:t>
      </w:r>
    </w:p>
    <w:p w14:paraId="64250862" w14:textId="77777777" w:rsidR="009310F5" w:rsidRPr="001045B7" w:rsidRDefault="009310F5" w:rsidP="00860054">
      <w:pPr>
        <w:spacing w:line="276" w:lineRule="auto"/>
        <w:jc w:val="both"/>
        <w:rPr>
          <w:rFonts w:asciiTheme="minorHAnsi" w:hAnsiTheme="minorHAnsi" w:cstheme="minorHAnsi"/>
          <w:i/>
          <w:sz w:val="17"/>
          <w:szCs w:val="17"/>
        </w:rPr>
      </w:pPr>
    </w:p>
    <w:p w14:paraId="724A8261"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el capítulo Cuarto, Sección Tercera del precepto legal antes mencionado, establece las facultades y responsabilidades del Poder Ejecutivo del Estado de Querétaro.</w:t>
      </w:r>
    </w:p>
    <w:p w14:paraId="4167DEA4" w14:textId="77777777" w:rsidR="009310F5" w:rsidRPr="001045B7" w:rsidRDefault="009310F5" w:rsidP="00860054">
      <w:pPr>
        <w:spacing w:line="276" w:lineRule="auto"/>
        <w:jc w:val="both"/>
        <w:rPr>
          <w:rFonts w:asciiTheme="minorHAnsi" w:hAnsiTheme="minorHAnsi" w:cstheme="minorHAnsi"/>
          <w:sz w:val="17"/>
          <w:szCs w:val="17"/>
        </w:rPr>
      </w:pPr>
    </w:p>
    <w:p w14:paraId="63C7E49E" w14:textId="0D83932D"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En lo que se refiere a la estructura del Poder Ejecutivo del Estado de Querétaro, está manifestada en la Ley Orgánica del Poder Ejecutivo del Estado de Querétaro, publicada en el Periódico Oficial del 17 de noviembre del 2008, </w:t>
      </w:r>
      <w:r w:rsidR="007C5E41" w:rsidRPr="001045B7">
        <w:rPr>
          <w:rFonts w:asciiTheme="minorHAnsi" w:hAnsiTheme="minorHAnsi" w:cstheme="minorHAnsi"/>
          <w:sz w:val="17"/>
          <w:szCs w:val="17"/>
        </w:rPr>
        <w:t>con última reforma de fecha 27</w:t>
      </w:r>
      <w:r w:rsidRPr="001045B7">
        <w:rPr>
          <w:rFonts w:asciiTheme="minorHAnsi" w:hAnsiTheme="minorHAnsi" w:cstheme="minorHAnsi"/>
          <w:sz w:val="17"/>
          <w:szCs w:val="17"/>
        </w:rPr>
        <w:t xml:space="preserve"> de </w:t>
      </w:r>
      <w:r w:rsidR="007C5E41" w:rsidRPr="001045B7">
        <w:rPr>
          <w:rFonts w:asciiTheme="minorHAnsi" w:hAnsiTheme="minorHAnsi" w:cstheme="minorHAnsi"/>
          <w:sz w:val="17"/>
          <w:szCs w:val="17"/>
        </w:rPr>
        <w:t>septiembre de 2024</w:t>
      </w:r>
      <w:r w:rsidRPr="001045B7">
        <w:rPr>
          <w:rFonts w:asciiTheme="minorHAnsi" w:hAnsiTheme="minorHAnsi" w:cstheme="minorHAnsi"/>
          <w:sz w:val="17"/>
          <w:szCs w:val="17"/>
        </w:rPr>
        <w:t>.</w:t>
      </w:r>
    </w:p>
    <w:p w14:paraId="4E755591" w14:textId="348F0F94" w:rsidR="009310F5" w:rsidRPr="001045B7" w:rsidRDefault="009310F5" w:rsidP="00860054">
      <w:pPr>
        <w:spacing w:line="276" w:lineRule="auto"/>
        <w:jc w:val="both"/>
        <w:rPr>
          <w:rFonts w:asciiTheme="minorHAnsi" w:hAnsiTheme="minorHAnsi" w:cstheme="minorHAnsi"/>
          <w:sz w:val="17"/>
          <w:szCs w:val="17"/>
        </w:rPr>
      </w:pPr>
    </w:p>
    <w:p w14:paraId="46429DCE" w14:textId="77777777" w:rsidR="009310F5" w:rsidRPr="001045B7" w:rsidRDefault="009310F5"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Panorama económico y financiero</w:t>
      </w:r>
    </w:p>
    <w:p w14:paraId="04ACBE88" w14:textId="77777777" w:rsidR="009310F5" w:rsidRPr="001045B7" w:rsidRDefault="009310F5" w:rsidP="00860054">
      <w:pPr>
        <w:spacing w:line="276" w:lineRule="auto"/>
        <w:jc w:val="both"/>
        <w:rPr>
          <w:rFonts w:asciiTheme="minorHAnsi" w:hAnsiTheme="minorHAnsi" w:cstheme="minorHAnsi"/>
          <w:sz w:val="17"/>
          <w:szCs w:val="17"/>
        </w:rPr>
      </w:pPr>
    </w:p>
    <w:p w14:paraId="78D4B8D3" w14:textId="14DEC097" w:rsidR="0093420E" w:rsidRPr="001045B7" w:rsidRDefault="00F317FC"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De acuerdo al informe trimestral del Banco de México</w:t>
      </w:r>
      <w:r w:rsidR="009675F1" w:rsidRPr="001045B7">
        <w:rPr>
          <w:rFonts w:asciiTheme="minorHAnsi" w:eastAsia="Calibri" w:hAnsiTheme="minorHAnsi" w:cstheme="minorHAnsi"/>
          <w:spacing w:val="-1"/>
          <w:sz w:val="17"/>
          <w:szCs w:val="17"/>
        </w:rPr>
        <w:t xml:space="preserve"> (BANXICO), emitido el pasado 2</w:t>
      </w:r>
      <w:r w:rsidR="0093420E" w:rsidRPr="001045B7">
        <w:rPr>
          <w:rFonts w:asciiTheme="minorHAnsi" w:eastAsia="Calibri" w:hAnsiTheme="minorHAnsi" w:cstheme="minorHAnsi"/>
          <w:spacing w:val="-1"/>
          <w:sz w:val="17"/>
          <w:szCs w:val="17"/>
        </w:rPr>
        <w:t>7</w:t>
      </w:r>
      <w:r w:rsidRPr="001045B7">
        <w:rPr>
          <w:rFonts w:asciiTheme="minorHAnsi" w:eastAsia="Calibri" w:hAnsiTheme="minorHAnsi" w:cstheme="minorHAnsi"/>
          <w:spacing w:val="-1"/>
          <w:sz w:val="17"/>
          <w:szCs w:val="17"/>
        </w:rPr>
        <w:t xml:space="preserve"> de </w:t>
      </w:r>
      <w:r w:rsidR="0093420E" w:rsidRPr="001045B7">
        <w:rPr>
          <w:rFonts w:asciiTheme="minorHAnsi" w:eastAsia="Calibri" w:hAnsiTheme="minorHAnsi" w:cstheme="minorHAnsi"/>
          <w:spacing w:val="-1"/>
          <w:sz w:val="17"/>
          <w:szCs w:val="17"/>
        </w:rPr>
        <w:t>noviembre</w:t>
      </w:r>
      <w:r w:rsidRPr="001045B7">
        <w:rPr>
          <w:rFonts w:asciiTheme="minorHAnsi" w:eastAsia="Calibri" w:hAnsiTheme="minorHAnsi" w:cstheme="minorHAnsi"/>
          <w:spacing w:val="-1"/>
          <w:sz w:val="17"/>
          <w:szCs w:val="17"/>
        </w:rPr>
        <w:t xml:space="preserve"> de 2024, </w:t>
      </w:r>
      <w:r w:rsidR="00CF0561" w:rsidRPr="001045B7">
        <w:rPr>
          <w:rFonts w:asciiTheme="minorHAnsi" w:eastAsia="Calibri" w:hAnsiTheme="minorHAnsi" w:cstheme="minorHAnsi"/>
          <w:spacing w:val="-1"/>
          <w:sz w:val="17"/>
          <w:szCs w:val="17"/>
        </w:rPr>
        <w:t>e</w:t>
      </w:r>
      <w:r w:rsidR="0093420E" w:rsidRPr="001045B7">
        <w:rPr>
          <w:rFonts w:asciiTheme="minorHAnsi" w:eastAsia="Calibri" w:hAnsiTheme="minorHAnsi" w:cstheme="minorHAnsi"/>
          <w:spacing w:val="-1"/>
          <w:sz w:val="17"/>
          <w:szCs w:val="17"/>
        </w:rPr>
        <w:t>n el ámbito externo, durante el tercer trimestre del</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año la actividad económica mundial se expandió a un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ritmo similar al observado en el trimestre previo.</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Tanto el grupo de economías avanzadas como el de</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emergentes mostraron un crecimiento cercano al</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observado en el segundo trimestre, aunque con un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comportamiento heterogéneo entre países. En el</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caso de Estados Unidos, durante el tercer trimestre</w:t>
      </w:r>
      <w:r w:rsidR="001025CE"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su actividad económica registró un crecimiento</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sólido, aunque ligeramente menor al observado en el</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trimestre anterior, apoyado en la fortaleza de su</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demanda interna y un mayor gasto de gobierno. Por</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su parte, la zona del euro exhibió una expansión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modesta, aunque ligeramente mayor en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comparación con el segundo trimestre del año.</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Asimismo, la economía china creció a una tasa mayor</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en relación con el segundo trimestre, ante el</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dinamismo de sus exportaciones. Las perspectivas de</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crecimiento global elaboradas por organismos</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internacionales para 2024 y 2025 en su conjunto se</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mantuvieron relativamente estables respecto de las</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que se tenían a mediados de año. Continúan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apuntando a un crecimiento similar al registrado en</w:t>
      </w:r>
      <w:r w:rsidR="00CF0561" w:rsidRPr="001045B7">
        <w:rPr>
          <w:rFonts w:asciiTheme="minorHAnsi" w:eastAsia="Calibri" w:hAnsiTheme="minorHAnsi" w:cstheme="minorHAnsi"/>
          <w:spacing w:val="-1"/>
          <w:sz w:val="17"/>
          <w:szCs w:val="17"/>
        </w:rPr>
        <w:t xml:space="preserve"> </w:t>
      </w:r>
      <w:r w:rsidR="0093420E" w:rsidRPr="001045B7">
        <w:rPr>
          <w:rFonts w:asciiTheme="minorHAnsi" w:eastAsia="Calibri" w:hAnsiTheme="minorHAnsi" w:cstheme="minorHAnsi"/>
          <w:spacing w:val="-1"/>
          <w:sz w:val="17"/>
          <w:szCs w:val="17"/>
        </w:rPr>
        <w:t>2023.</w:t>
      </w:r>
    </w:p>
    <w:p w14:paraId="4D8D0238" w14:textId="359B0D50" w:rsidR="0093420E" w:rsidRPr="001045B7" w:rsidRDefault="0093420E" w:rsidP="0093420E">
      <w:pPr>
        <w:jc w:val="both"/>
        <w:rPr>
          <w:rFonts w:asciiTheme="minorHAnsi" w:eastAsia="Calibri" w:hAnsiTheme="minorHAnsi" w:cstheme="minorHAnsi"/>
          <w:spacing w:val="-1"/>
          <w:sz w:val="17"/>
          <w:szCs w:val="17"/>
        </w:rPr>
      </w:pPr>
    </w:p>
    <w:p w14:paraId="23DAA7BD" w14:textId="77777777" w:rsidR="002F0B27"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el tercer trimestre de 2024, la inflación general de</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un amplio número de economías tanto avanzadas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como emergentes continuó acercándose al objetivo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sus respectivos bancos centrales, ubicándose en</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niveles por debajo de los observados a inicios del año.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No obstante, el ritmo de reducción de la inflación ha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sido diferenciado entre países y se han observado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aumentos en algunas economías en lecturas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recientes. En el caso particular de Estados Unidos, la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reducción de la inflación general del índice de precios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al consumidor fue resultado, en gran medida, de una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menor inflación de los energéticos, al tiempo que la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inflación subyacente se mantuvo estable en niveles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por debajo de los observados a inicios del año. En</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 xml:space="preserve">este entorno, si bien el proceso </w:t>
      </w:r>
      <w:proofErr w:type="spellStart"/>
      <w:r w:rsidRPr="001045B7">
        <w:rPr>
          <w:rFonts w:asciiTheme="minorHAnsi" w:eastAsia="Calibri" w:hAnsiTheme="minorHAnsi" w:cstheme="minorHAnsi"/>
          <w:spacing w:val="-1"/>
          <w:sz w:val="17"/>
          <w:szCs w:val="17"/>
        </w:rPr>
        <w:t>desinflacionario</w:t>
      </w:r>
      <w:proofErr w:type="spellEnd"/>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mundial ha avanzado luego de los choques globales,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este continúa enfrentado retos y riesgos.</w:t>
      </w:r>
      <w:r w:rsidR="00CF0561" w:rsidRPr="001045B7">
        <w:rPr>
          <w:rFonts w:asciiTheme="minorHAnsi" w:eastAsia="Calibri" w:hAnsiTheme="minorHAnsi" w:cstheme="minorHAnsi"/>
          <w:spacing w:val="-1"/>
          <w:sz w:val="17"/>
          <w:szCs w:val="17"/>
        </w:rPr>
        <w:t xml:space="preserve"> </w:t>
      </w:r>
    </w:p>
    <w:p w14:paraId="3DF4E775" w14:textId="77777777" w:rsidR="002F0B27" w:rsidRPr="001045B7" w:rsidRDefault="002F0B27" w:rsidP="0093420E">
      <w:pPr>
        <w:jc w:val="both"/>
        <w:rPr>
          <w:rFonts w:asciiTheme="minorHAnsi" w:eastAsia="Calibri" w:hAnsiTheme="minorHAnsi" w:cstheme="minorHAnsi"/>
          <w:spacing w:val="-1"/>
          <w:sz w:val="17"/>
          <w:szCs w:val="17"/>
        </w:rPr>
      </w:pPr>
    </w:p>
    <w:p w14:paraId="0FDCB7D2" w14:textId="1661B8A2" w:rsidR="0093420E"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el periodo que cubre este Informe, un amplio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número de bancos centrales de las principales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economías avanzadas y emergentes adoptó posturas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menos restrictivas. En las principales economías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avanzadas, varios institutos centrales iniciaron 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continuaron con la disminución de sus tasas de</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referencia. La Reserva Federal de Estados Unidos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redujo la tasa de fondos federales por primera vez</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desde 2020 en su decisión de septiembre, cuando</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anunció un recorte de 50 puntos base (pb) y</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posteriormente de 25 pb en su reunión de</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noviembre. En las economías emergentes, si bien los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bancos centrales realizaron ajustes de política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monetaria de manera diferenciada, algunos institutos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centrales, principalmente de la región de América</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Latina y Europa del Este, continuaron con</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reducciones en sus tasas de política. Además,</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Sudáfrica y algunos países asiáticos realizaron</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disminuciones en sus tasas de interés por primera vez</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más de tres años, mientras que China anunció</w:t>
      </w:r>
      <w:r w:rsidR="00CF0561"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diversas medidas de estímulo monetario.</w:t>
      </w:r>
    </w:p>
    <w:p w14:paraId="56D05BB0" w14:textId="125A5897" w:rsidR="0093420E" w:rsidRPr="001045B7" w:rsidRDefault="0093420E" w:rsidP="0093420E">
      <w:pPr>
        <w:jc w:val="both"/>
        <w:rPr>
          <w:rFonts w:asciiTheme="minorHAnsi" w:eastAsia="Calibri" w:hAnsiTheme="minorHAnsi" w:cstheme="minorHAnsi"/>
          <w:spacing w:val="-1"/>
          <w:sz w:val="17"/>
          <w:szCs w:val="17"/>
        </w:rPr>
      </w:pPr>
    </w:p>
    <w:p w14:paraId="2F0550AE" w14:textId="2DD7F354" w:rsidR="0093420E"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 xml:space="preserve">El avance en el proceso </w:t>
      </w:r>
      <w:proofErr w:type="spellStart"/>
      <w:r w:rsidRPr="001045B7">
        <w:rPr>
          <w:rFonts w:asciiTheme="minorHAnsi" w:eastAsia="Calibri" w:hAnsiTheme="minorHAnsi" w:cstheme="minorHAnsi"/>
          <w:spacing w:val="-1"/>
          <w:sz w:val="17"/>
          <w:szCs w:val="17"/>
        </w:rPr>
        <w:t>desinflacionario</w:t>
      </w:r>
      <w:proofErr w:type="spellEnd"/>
      <w:r w:rsidRPr="001045B7">
        <w:rPr>
          <w:rFonts w:asciiTheme="minorHAnsi" w:eastAsia="Calibri" w:hAnsiTheme="minorHAnsi" w:cstheme="minorHAnsi"/>
          <w:spacing w:val="-1"/>
          <w:sz w:val="17"/>
          <w:szCs w:val="17"/>
        </w:rPr>
        <w:t xml:space="preserve"> en Estados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Unidos y los datos de empleo en la dirección de un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mejor balance entre la oferta y demanda en ese país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condujeron a una revisión a la baja de las trayectorias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esperadas de tasas de política monetaria implícitas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las curvas de swaps (</w:t>
      </w:r>
      <w:proofErr w:type="spellStart"/>
      <w:r w:rsidRPr="001045B7">
        <w:rPr>
          <w:rFonts w:asciiTheme="minorHAnsi" w:eastAsia="Calibri" w:hAnsiTheme="minorHAnsi" w:cstheme="minorHAnsi"/>
          <w:spacing w:val="-1"/>
          <w:sz w:val="17"/>
          <w:szCs w:val="17"/>
        </w:rPr>
        <w:t>OIS</w:t>
      </w:r>
      <w:proofErr w:type="spellEnd"/>
      <w:r w:rsidRPr="001045B7">
        <w:rPr>
          <w:rFonts w:asciiTheme="minorHAnsi" w:eastAsia="Calibri" w:hAnsiTheme="minorHAnsi" w:cstheme="minorHAnsi"/>
          <w:spacing w:val="-1"/>
          <w:sz w:val="17"/>
          <w:szCs w:val="17"/>
        </w:rPr>
        <w:t>) para la mayoría de las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principales economías avanzadas. Así, la previsión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más reciente del nivel de las tasas de interés al cierre</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2024 se ubica por debajo del que se anticipaba 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finales del segundo trimestre para dichas economías.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este sentido, se registró un relajamiento en las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condiciones financieras globales.</w:t>
      </w:r>
    </w:p>
    <w:p w14:paraId="479E06C1" w14:textId="1475F7C7" w:rsidR="0093420E" w:rsidRPr="001045B7" w:rsidRDefault="0093420E" w:rsidP="0093420E">
      <w:pPr>
        <w:jc w:val="both"/>
        <w:rPr>
          <w:rFonts w:asciiTheme="minorHAnsi" w:eastAsia="Calibri" w:hAnsiTheme="minorHAnsi" w:cstheme="minorHAnsi"/>
          <w:spacing w:val="-1"/>
          <w:sz w:val="17"/>
          <w:szCs w:val="17"/>
        </w:rPr>
      </w:pPr>
    </w:p>
    <w:p w14:paraId="0CAF42B8" w14:textId="4C63DAD1" w:rsidR="0093420E"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No obstante, a lo largo del periodo, los mercados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financieros internacionales exhibieron una alta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sensibilidad a la publicación de distintos indicadores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económicos, lo que ocasionó episodios de elevada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volatilidad. El marcado incremento en la volatilidad</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los mercados financieros internacionales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observado a principios de agosto resultó de la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percepción de un mayor riesgo de desaceleración en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Estados Unidos ante datos de empleo por debajo de</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lo anticipado en ese país. Aunado a lo anterior, a esta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volatilidad también contribuyó el incremento no</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anticipado de las tasas de referencia por parte del</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Banco de Japón que motivó una liquidación de las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elevadas posiciones cortas con respecto al yen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japonés para financiar posiciones de acarreo en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monedas de países con mayores tasas de interés. Por</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 parte, en septiembre y octubre, datos que</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apuntaron a una inflación más persistente y a un</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mercado laboral más fuerte de lo que se anticipaba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Estados Unidos, condujeron a un aumento en la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incertidumbre sobre el ritmo de relajamiento</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monetario por parte de la Reserva Federal y a nuevos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episodios de volatilidad. Particularmente, en octubre</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se observó una mayor volatilidad como consecuencia</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la incertidumbre asociada con los procesos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electorales en algunos países avanzados. No</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obstante, en noviembre dicha volatilidad se revirtió</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parcialmente después de las elecciones en Estados</w:t>
      </w:r>
      <w:r w:rsidR="001025CE"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Unidos.</w:t>
      </w:r>
    </w:p>
    <w:p w14:paraId="56F8A16F" w14:textId="77777777" w:rsidR="002E2ECC" w:rsidRPr="001045B7" w:rsidRDefault="002E2ECC" w:rsidP="0093420E">
      <w:pPr>
        <w:jc w:val="both"/>
        <w:rPr>
          <w:rFonts w:asciiTheme="minorHAnsi" w:eastAsia="Calibri" w:hAnsiTheme="minorHAnsi" w:cstheme="minorHAnsi"/>
          <w:spacing w:val="-1"/>
          <w:sz w:val="17"/>
          <w:szCs w:val="17"/>
        </w:rPr>
      </w:pPr>
    </w:p>
    <w:p w14:paraId="449259FE" w14:textId="77777777" w:rsidR="002F0B27"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el ámbito interno, los mercados financieros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nacionales mostraron periodos de volatilidad debido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 los eventos externos referidos, entre estos destacó</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 elevada sensibilidad a la elección de Estados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Unidos. Asimismo, también influyeron factores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idiosincráticos. La cotización de la moneda nacional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registró una notoria depreciación. Las tasas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interés de valores gubernamentales de corto plazo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disminuyeron, al tiempo que las de mediano y largo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plazos se incrementaron y exhibieron volatilidad.</w:t>
      </w:r>
      <w:r w:rsidR="002E2ECC" w:rsidRPr="001045B7">
        <w:rPr>
          <w:rFonts w:asciiTheme="minorHAnsi" w:eastAsia="Calibri" w:hAnsiTheme="minorHAnsi" w:cstheme="minorHAnsi"/>
          <w:spacing w:val="-1"/>
          <w:sz w:val="17"/>
          <w:szCs w:val="17"/>
        </w:rPr>
        <w:t xml:space="preserve"> </w:t>
      </w:r>
    </w:p>
    <w:p w14:paraId="5783EF34" w14:textId="77777777" w:rsidR="002F0B27" w:rsidRPr="001045B7" w:rsidRDefault="002F0B27" w:rsidP="0093420E">
      <w:pPr>
        <w:jc w:val="both"/>
        <w:rPr>
          <w:rFonts w:asciiTheme="minorHAnsi" w:eastAsia="Calibri" w:hAnsiTheme="minorHAnsi" w:cstheme="minorHAnsi"/>
          <w:spacing w:val="-1"/>
          <w:sz w:val="17"/>
          <w:szCs w:val="17"/>
        </w:rPr>
      </w:pPr>
    </w:p>
    <w:p w14:paraId="651F1D95" w14:textId="412F7CD7" w:rsidR="0016338D" w:rsidRPr="001045B7" w:rsidRDefault="0093420E" w:rsidP="0093420E">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cuanto a la actividad económica nacional, en el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tercer trimestre de 2024 esta se expandió a una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mayor tasa de crecimiento que las observadas en los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tres trimestres previos, periodo en el que mostró una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marcada debilidad. Las actividades primarias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exhibieron una contribución positiva relativamente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alta. A su vez, las actividades secundarias y terciarias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 xml:space="preserve">registraron una mayor expansión </w:t>
      </w:r>
      <w:r w:rsidRPr="001045B7">
        <w:rPr>
          <w:rFonts w:asciiTheme="minorHAnsi" w:eastAsia="Calibri" w:hAnsiTheme="minorHAnsi" w:cstheme="minorHAnsi"/>
          <w:spacing w:val="-1"/>
          <w:sz w:val="17"/>
          <w:szCs w:val="17"/>
        </w:rPr>
        <w:lastRenderedPageBreak/>
        <w:t>que en el trimestre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previo. La tasa de desocupación nacional permaneció</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niveles históricamente bajos, si bien el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crecimiento de la ocupación continuó</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desacelerándose de manera importante. Hacia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delante, se espera que la economía nacional presente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un crecimiento, si bien a un ritmo modesto. Además,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persisten riesgos para la economía nacional, en un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entorno en el que prevalece una elevada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incertidumbre por factores tanto internos como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externos.</w:t>
      </w:r>
      <w:r w:rsidRPr="001045B7">
        <w:rPr>
          <w:rFonts w:asciiTheme="minorHAnsi" w:eastAsia="Calibri" w:hAnsiTheme="minorHAnsi" w:cstheme="minorHAnsi"/>
          <w:spacing w:val="-1"/>
          <w:sz w:val="17"/>
          <w:szCs w:val="17"/>
        </w:rPr>
        <w:cr/>
      </w:r>
    </w:p>
    <w:p w14:paraId="58673FB1" w14:textId="29D5AECB" w:rsidR="0016338D" w:rsidRPr="001045B7" w:rsidRDefault="00F36DBF" w:rsidP="0016338D">
      <w:pPr>
        <w:jc w:val="center"/>
        <w:rPr>
          <w:rFonts w:asciiTheme="minorHAnsi" w:eastAsia="Calibri" w:hAnsiTheme="minorHAnsi" w:cstheme="minorHAnsi"/>
          <w:spacing w:val="-1"/>
          <w:sz w:val="17"/>
          <w:szCs w:val="17"/>
        </w:rPr>
      </w:pPr>
      <w:r w:rsidRPr="001045B7">
        <w:rPr>
          <w:noProof/>
        </w:rPr>
        <w:drawing>
          <wp:inline distT="0" distB="0" distL="0" distR="0" wp14:anchorId="4F98A37C" wp14:editId="17F58657">
            <wp:extent cx="1638394" cy="18832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783"/>
                    <a:stretch/>
                  </pic:blipFill>
                  <pic:spPr bwMode="auto">
                    <a:xfrm>
                      <a:off x="0" y="0"/>
                      <a:ext cx="1647922" cy="1894227"/>
                    </a:xfrm>
                    <a:prstGeom prst="rect">
                      <a:avLst/>
                    </a:prstGeom>
                    <a:ln>
                      <a:noFill/>
                    </a:ln>
                    <a:extLst>
                      <a:ext uri="{53640926-AAD7-44D8-BBD7-CCE9431645EC}">
                        <a14:shadowObscured xmlns:a14="http://schemas.microsoft.com/office/drawing/2010/main"/>
                      </a:ext>
                    </a:extLst>
                  </pic:spPr>
                </pic:pic>
              </a:graphicData>
            </a:graphic>
          </wp:inline>
        </w:drawing>
      </w:r>
      <w:r w:rsidR="0016338D" w:rsidRPr="001045B7">
        <w:rPr>
          <w:noProof/>
        </w:rPr>
        <w:t xml:space="preserve"> </w:t>
      </w:r>
      <w:r w:rsidR="00C2292C" w:rsidRPr="001045B7">
        <w:rPr>
          <w:noProof/>
        </w:rPr>
        <w:drawing>
          <wp:inline distT="0" distB="0" distL="0" distR="0" wp14:anchorId="5AC12B4D" wp14:editId="3CC8F54E">
            <wp:extent cx="1632505" cy="1914857"/>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6283" cy="1919289"/>
                    </a:xfrm>
                    <a:prstGeom prst="rect">
                      <a:avLst/>
                    </a:prstGeom>
                  </pic:spPr>
                </pic:pic>
              </a:graphicData>
            </a:graphic>
          </wp:inline>
        </w:drawing>
      </w:r>
      <w:r w:rsidR="0016338D" w:rsidRPr="001045B7">
        <w:rPr>
          <w:rFonts w:asciiTheme="minorHAnsi" w:eastAsia="Calibri" w:hAnsiTheme="minorHAnsi" w:cstheme="minorHAnsi"/>
          <w:spacing w:val="-1"/>
          <w:sz w:val="17"/>
          <w:szCs w:val="17"/>
        </w:rPr>
        <w:t xml:space="preserve"> </w:t>
      </w:r>
      <w:r w:rsidR="00C2292C" w:rsidRPr="001045B7">
        <w:rPr>
          <w:rFonts w:asciiTheme="minorHAnsi" w:eastAsia="Calibri" w:hAnsiTheme="minorHAnsi" w:cstheme="minorHAnsi"/>
          <w:noProof/>
          <w:spacing w:val="-1"/>
          <w:sz w:val="17"/>
          <w:szCs w:val="17"/>
        </w:rPr>
        <w:drawing>
          <wp:inline distT="0" distB="0" distL="0" distR="0" wp14:anchorId="059F5F31" wp14:editId="12211379">
            <wp:extent cx="1733384" cy="1905112"/>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4668" cy="1906524"/>
                    </a:xfrm>
                    <a:prstGeom prst="rect">
                      <a:avLst/>
                    </a:prstGeom>
                  </pic:spPr>
                </pic:pic>
              </a:graphicData>
            </a:graphic>
          </wp:inline>
        </w:drawing>
      </w:r>
    </w:p>
    <w:p w14:paraId="2072FBB1" w14:textId="77777777" w:rsidR="0016338D" w:rsidRPr="001045B7" w:rsidRDefault="0016338D" w:rsidP="0093420E">
      <w:pPr>
        <w:jc w:val="both"/>
        <w:rPr>
          <w:rFonts w:asciiTheme="minorHAnsi" w:eastAsia="Calibri" w:hAnsiTheme="minorHAnsi" w:cstheme="minorHAnsi"/>
          <w:spacing w:val="-1"/>
          <w:sz w:val="17"/>
          <w:szCs w:val="17"/>
        </w:rPr>
      </w:pPr>
    </w:p>
    <w:p w14:paraId="5DEDA310" w14:textId="7D296E19" w:rsidR="00CF0561" w:rsidRPr="001045B7" w:rsidRDefault="00CF0561" w:rsidP="00CF056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Durante la mayor parte de 2024, la inflación general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anual había exhibido una trayectoria al alza,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impulsada por el incremento de la inflación no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subyacente que enfrentó presiones atípicas</w:t>
      </w:r>
    </w:p>
    <w:p w14:paraId="716BCE35" w14:textId="77777777" w:rsidR="002F0B27" w:rsidRPr="001045B7" w:rsidRDefault="00CF0561" w:rsidP="00CF056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derivadas de choques de oferta. En particular, en el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segundo trimestre la inflación general anual se situó</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4.77% y en julio alcanzó 5.57%. No obstante,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dichas presiones se fueron atenuando, de tal forma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que para el tercer trimestre en su conjunto se ubicó</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 5.04%. Si bien la inflación no subyacente ha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enfrentado nuevas afectaciones de oferta, en la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primera quincena de noviembre la inflación general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disminuyó a 4.56%. A su vez, la inflación subyacente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continuó disminuyendo en el periodo que se reporta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al pasar de 4.23 a 3.99% entre el segundo y el tercer</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trimestre y se situó en 3.58% en la primera quincena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noviembre. Si bien las reducciones han sido más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moderadas que las observadas en 2023, estas no se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han visto interrumpidas. A la disminución han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contribuido las acciones de política monetaria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implementadas y el desvanecimiento de los efectos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los choques globales. En su interior, la inflación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las mercancías siguió exhibiendo una clara tendencia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 la baja. En contraste, la inflación de los servicios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continuó en niveles elevados, pues si bien ha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registrado cierta reducción, esta ha sido muy gradual.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Por su parte, como resultado de los choques de oferta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referidos, la inflación no subyacente aumentó de 6.46</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 8.29% entre el segundo y el tercer trimestre y se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situó en 7.64% en la primera quincena de noviembre.</w:t>
      </w:r>
      <w:r w:rsidR="002E2ECC" w:rsidRPr="001045B7">
        <w:rPr>
          <w:rFonts w:asciiTheme="minorHAnsi" w:eastAsia="Calibri" w:hAnsiTheme="minorHAnsi" w:cstheme="minorHAnsi"/>
          <w:spacing w:val="-1"/>
          <w:sz w:val="17"/>
          <w:szCs w:val="17"/>
        </w:rPr>
        <w:t xml:space="preserve"> </w:t>
      </w:r>
    </w:p>
    <w:p w14:paraId="60695138" w14:textId="77777777" w:rsidR="002F0B27" w:rsidRPr="001045B7" w:rsidRDefault="002F0B27" w:rsidP="00CF0561">
      <w:pPr>
        <w:jc w:val="both"/>
        <w:rPr>
          <w:rFonts w:asciiTheme="minorHAnsi" w:eastAsia="Calibri" w:hAnsiTheme="minorHAnsi" w:cstheme="minorHAnsi"/>
          <w:spacing w:val="-1"/>
          <w:sz w:val="17"/>
          <w:szCs w:val="17"/>
        </w:rPr>
      </w:pPr>
    </w:p>
    <w:p w14:paraId="1B38CE8A" w14:textId="438C747A" w:rsidR="00CF0561" w:rsidRPr="001045B7" w:rsidRDefault="00CF0561" w:rsidP="00CF056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el Informe Trimestral se mantienen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vigentes los pronósticos para la inflación general y</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subyacente publicados en el Anuncio de Política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Monetaria del 14 de noviembre de 2024. En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comparación con el Informe anterior, el pronóstico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actual para la inflación general presenta ajustes 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alza hasta el segundo trimestre de 2025. Estas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modificaciones, más acentuadas en el corto plazo,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responden a niveles más elevados de la inflación no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subyacente, asociados con las mayores variaciones 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las anticipadas en los precios de los agropecuarios y</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los energéticos debido a diversos choques de</w:t>
      </w:r>
      <w:r w:rsidR="002F0B27"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oferta que han experimentado. Posteriormente, los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niveles esperados a lo largo del horizonte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pronóstico para la inflación general son iguales a los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publicados en el Informe previo, de tal forma que se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mantiene la previsión de que se sitúe en 3% en el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cuarto trimestre de 2025. En cuanto a la inflación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subyacente, el pronóstico actual considera niveles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ligeramente menores a los contemplados en el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Informe previo hasta el primer trimestre de 2025.</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Estos ajustes incorporan variaciones de precios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mercancías menores a las esperadas, las cuales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compensan la mayor persistencia de la inflación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los servicios. Desde el segundo trimestre de 2025, los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pronósticos para la inflación subyacente son iguales 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los del Informe anterior, por lo que se continúa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esperando que se sitúe en 3% en el cuarto trimestre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2025. Se considera que el balance de riesgos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respecto de la trayectoria prevista para la inflación en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el horizonte de pronóstico se mantiene sesgado al</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alza.</w:t>
      </w:r>
      <w:r w:rsidRPr="001045B7">
        <w:rPr>
          <w:rFonts w:asciiTheme="minorHAnsi" w:eastAsia="Calibri" w:hAnsiTheme="minorHAnsi" w:cstheme="minorHAnsi"/>
          <w:spacing w:val="-1"/>
          <w:sz w:val="17"/>
          <w:szCs w:val="17"/>
        </w:rPr>
        <w:cr/>
      </w:r>
    </w:p>
    <w:p w14:paraId="67F6A24D" w14:textId="77777777" w:rsidR="0016338D" w:rsidRPr="001045B7" w:rsidRDefault="00CF0561" w:rsidP="00CF056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En sus decisiones de política monetaria, la Junta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Gobierno consideró la naturaleza de los choques que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han presionado al alza a la inflación no subyacente y</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 previsión de que sus efectos sobre la inflación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general se sigan disipando en los próximos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trimestres. Asimismo, tomó en cuenta la trayectoria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que ha seguido la inflación subyacente y la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perspectiva de que esta continúe disminuyendo.</w:t>
      </w:r>
      <w:r w:rsidR="0016338D"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Valoró que, si bien el panorama inflacionario aún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amerita una postura restrictiva, ante la evolución que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ha presentado resulta adecuado reducir el grado de</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apretamiento monetario. Así, en cada una de las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reuniones de agosto, septiembre y noviembre, redujo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 tasa de referencia en 25 puntos base para situarla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actualmente en un nivel de 10.25%.</w:t>
      </w:r>
      <w:r w:rsidR="002E2ECC" w:rsidRPr="001045B7">
        <w:rPr>
          <w:rFonts w:asciiTheme="minorHAnsi" w:eastAsia="Calibri" w:hAnsiTheme="minorHAnsi" w:cstheme="minorHAnsi"/>
          <w:spacing w:val="-1"/>
          <w:sz w:val="17"/>
          <w:szCs w:val="17"/>
        </w:rPr>
        <w:t xml:space="preserve"> </w:t>
      </w:r>
    </w:p>
    <w:p w14:paraId="29BC1AE9" w14:textId="77777777" w:rsidR="0016338D" w:rsidRPr="001045B7" w:rsidRDefault="0016338D" w:rsidP="00CF0561">
      <w:pPr>
        <w:jc w:val="both"/>
        <w:rPr>
          <w:rFonts w:asciiTheme="minorHAnsi" w:eastAsia="Calibri" w:hAnsiTheme="minorHAnsi" w:cstheme="minorHAnsi"/>
          <w:spacing w:val="-1"/>
          <w:sz w:val="17"/>
          <w:szCs w:val="17"/>
        </w:rPr>
      </w:pPr>
    </w:p>
    <w:p w14:paraId="74372180" w14:textId="5C6CA013" w:rsidR="00F317FC" w:rsidRPr="001045B7" w:rsidRDefault="00CF0561" w:rsidP="00F317FC">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Hacia delante, prevé que el entorno inflacionario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permita ajustes adicionales a la tasa de referencia.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Tomará en cuenta la perspectiva de que los choques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globales continuarán desvaneciéndose y los efectos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 la debilidad de la actividad económica.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Considerará la incidencia de la postura monetaria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restrictiva que se ha mantenido y la que siga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imperando sobre la evolución de la inflación a lo largo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del horizonte en el que opera la política monetaria.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Las acciones que se implementen serán tales que la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tasa de referencia sea congruente, en todo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 xml:space="preserve">momento, con la trayectoria requerida </w:t>
      </w:r>
      <w:r w:rsidRPr="001045B7">
        <w:rPr>
          <w:rFonts w:asciiTheme="minorHAnsi" w:eastAsia="Calibri" w:hAnsiTheme="minorHAnsi" w:cstheme="minorHAnsi"/>
          <w:spacing w:val="-1"/>
          <w:sz w:val="17"/>
          <w:szCs w:val="17"/>
        </w:rPr>
        <w:lastRenderedPageBreak/>
        <w:t>para propiciar</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la convergencia ordenada y sostenida de la inflación</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general a la meta de 3% en el plazo previsto. El Banco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Central reafirma su compromiso con su mandato</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prioritario y la necesidad de perseverar en sus</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esfuerzos por consolidar un entorno de inflación baja</w:t>
      </w:r>
      <w:r w:rsidR="002E2ECC" w:rsidRPr="001045B7">
        <w:rPr>
          <w:rFonts w:asciiTheme="minorHAnsi" w:eastAsia="Calibri" w:hAnsiTheme="minorHAnsi" w:cstheme="minorHAnsi"/>
          <w:spacing w:val="-1"/>
          <w:sz w:val="17"/>
          <w:szCs w:val="17"/>
        </w:rPr>
        <w:t xml:space="preserve"> </w:t>
      </w:r>
      <w:r w:rsidRPr="001045B7">
        <w:rPr>
          <w:rFonts w:asciiTheme="minorHAnsi" w:eastAsia="Calibri" w:hAnsiTheme="minorHAnsi" w:cstheme="minorHAnsi"/>
          <w:spacing w:val="-1"/>
          <w:sz w:val="17"/>
          <w:szCs w:val="17"/>
        </w:rPr>
        <w:t>y estable.</w:t>
      </w:r>
    </w:p>
    <w:p w14:paraId="4E45E7DF" w14:textId="77777777" w:rsidR="002B7544" w:rsidRPr="001045B7" w:rsidRDefault="002B7544" w:rsidP="00F317FC">
      <w:pPr>
        <w:jc w:val="both"/>
        <w:rPr>
          <w:rFonts w:asciiTheme="minorHAnsi" w:eastAsia="Calibri" w:hAnsiTheme="minorHAnsi" w:cstheme="minorHAnsi"/>
          <w:spacing w:val="-1"/>
          <w:sz w:val="17"/>
          <w:szCs w:val="17"/>
        </w:rPr>
      </w:pPr>
    </w:p>
    <w:p w14:paraId="0C9C1DC4" w14:textId="0D273660" w:rsidR="00F317FC" w:rsidRPr="001045B7" w:rsidRDefault="00B77426" w:rsidP="00F317FC">
      <w:pPr>
        <w:pStyle w:val="NormalWeb"/>
        <w:shd w:val="clear" w:color="auto" w:fill="FFFFFF"/>
        <w:spacing w:before="0" w:beforeAutospacing="0" w:after="0" w:afterAutospacing="0"/>
        <w:jc w:val="center"/>
        <w:rPr>
          <w:rFonts w:asciiTheme="minorHAnsi" w:eastAsia="Calibri" w:hAnsiTheme="minorHAnsi" w:cstheme="minorHAnsi"/>
          <w:spacing w:val="-1"/>
          <w:sz w:val="17"/>
          <w:szCs w:val="17"/>
        </w:rPr>
      </w:pPr>
      <w:r w:rsidRPr="001045B7">
        <w:rPr>
          <w:rFonts w:asciiTheme="minorHAnsi" w:eastAsia="Calibri" w:hAnsiTheme="minorHAnsi" w:cstheme="minorHAnsi"/>
          <w:noProof/>
          <w:spacing w:val="-1"/>
          <w:sz w:val="17"/>
          <w:szCs w:val="17"/>
        </w:rPr>
        <w:drawing>
          <wp:inline distT="0" distB="0" distL="0" distR="0" wp14:anchorId="277B595F" wp14:editId="15E4738D">
            <wp:extent cx="2011680" cy="1536793"/>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5122" cy="1539422"/>
                    </a:xfrm>
                    <a:prstGeom prst="rect">
                      <a:avLst/>
                    </a:prstGeom>
                  </pic:spPr>
                </pic:pic>
              </a:graphicData>
            </a:graphic>
          </wp:inline>
        </w:drawing>
      </w:r>
      <w:r w:rsidRPr="001045B7">
        <w:rPr>
          <w:rFonts w:asciiTheme="minorHAnsi" w:eastAsia="Calibri" w:hAnsiTheme="minorHAnsi" w:cstheme="minorHAnsi"/>
          <w:noProof/>
          <w:spacing w:val="-1"/>
          <w:sz w:val="17"/>
          <w:szCs w:val="17"/>
        </w:rPr>
        <w:drawing>
          <wp:inline distT="0" distB="0" distL="0" distR="0" wp14:anchorId="07CAEF3B" wp14:editId="6AE83CCA">
            <wp:extent cx="1860605" cy="1604177"/>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6675" cy="1609411"/>
                    </a:xfrm>
                    <a:prstGeom prst="rect">
                      <a:avLst/>
                    </a:prstGeom>
                  </pic:spPr>
                </pic:pic>
              </a:graphicData>
            </a:graphic>
          </wp:inline>
        </w:drawing>
      </w:r>
      <w:r w:rsidR="00D903B5" w:rsidRPr="001045B7">
        <w:rPr>
          <w:rFonts w:asciiTheme="minorHAnsi" w:eastAsia="Calibri" w:hAnsiTheme="minorHAnsi" w:cstheme="minorHAnsi"/>
          <w:spacing w:val="-1"/>
          <w:sz w:val="17"/>
          <w:szCs w:val="17"/>
        </w:rPr>
        <w:t xml:space="preserve">  </w:t>
      </w:r>
      <w:r w:rsidR="008A59A2" w:rsidRPr="001045B7">
        <w:rPr>
          <w:rFonts w:asciiTheme="minorHAnsi" w:eastAsia="Calibri" w:hAnsiTheme="minorHAnsi" w:cstheme="minorHAnsi"/>
          <w:noProof/>
          <w:spacing w:val="-1"/>
          <w:sz w:val="17"/>
          <w:szCs w:val="17"/>
        </w:rPr>
        <w:drawing>
          <wp:inline distT="0" distB="0" distL="0" distR="0" wp14:anchorId="345DB95F" wp14:editId="2ABA71DA">
            <wp:extent cx="1629797" cy="1629797"/>
            <wp:effectExtent l="0" t="0" r="889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3954" cy="1633954"/>
                    </a:xfrm>
                    <a:prstGeom prst="rect">
                      <a:avLst/>
                    </a:prstGeom>
                  </pic:spPr>
                </pic:pic>
              </a:graphicData>
            </a:graphic>
          </wp:inline>
        </w:drawing>
      </w:r>
    </w:p>
    <w:p w14:paraId="1871762E" w14:textId="77777777" w:rsidR="001F306A" w:rsidRPr="001045B7" w:rsidRDefault="001F306A" w:rsidP="00BD5981">
      <w:pPr>
        <w:jc w:val="both"/>
        <w:rPr>
          <w:rFonts w:asciiTheme="minorHAnsi" w:eastAsia="Calibri" w:hAnsiTheme="minorHAnsi" w:cstheme="minorHAnsi"/>
          <w:spacing w:val="-1"/>
          <w:sz w:val="17"/>
          <w:szCs w:val="17"/>
        </w:rPr>
      </w:pPr>
    </w:p>
    <w:p w14:paraId="08561324" w14:textId="5874EB3D" w:rsidR="00BD5981" w:rsidRPr="001045B7" w:rsidRDefault="00BD5981"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Con un crecimiento anual del Producto Interno Bruto (PIB) del 4.2%, Querétaro se posiciona como el noveno estado con mayor expansión económica en el país, destacó el gobernador, Mauricio Kuri González, al encabezar junto con el titular de la Secretaría de Desarrollo Sustentable (</w:t>
      </w:r>
      <w:proofErr w:type="spellStart"/>
      <w:r w:rsidRPr="001045B7">
        <w:rPr>
          <w:rFonts w:asciiTheme="minorHAnsi" w:eastAsia="Calibri" w:hAnsiTheme="minorHAnsi" w:cstheme="minorHAnsi"/>
          <w:spacing w:val="-1"/>
          <w:sz w:val="17"/>
          <w:szCs w:val="17"/>
        </w:rPr>
        <w:t>SEDESU</w:t>
      </w:r>
      <w:proofErr w:type="spellEnd"/>
      <w:r w:rsidRPr="001045B7">
        <w:rPr>
          <w:rFonts w:asciiTheme="minorHAnsi" w:eastAsia="Calibri" w:hAnsiTheme="minorHAnsi" w:cstheme="minorHAnsi"/>
          <w:spacing w:val="-1"/>
          <w:sz w:val="17"/>
          <w:szCs w:val="17"/>
        </w:rPr>
        <w:t xml:space="preserve">), Marco Antonio Del </w:t>
      </w:r>
      <w:proofErr w:type="spellStart"/>
      <w:r w:rsidRPr="001045B7">
        <w:rPr>
          <w:rFonts w:asciiTheme="minorHAnsi" w:eastAsia="Calibri" w:hAnsiTheme="minorHAnsi" w:cstheme="minorHAnsi"/>
          <w:spacing w:val="-1"/>
          <w:sz w:val="17"/>
          <w:szCs w:val="17"/>
        </w:rPr>
        <w:t>Prete</w:t>
      </w:r>
      <w:proofErr w:type="spellEnd"/>
      <w:r w:rsidRPr="001045B7">
        <w:rPr>
          <w:rFonts w:asciiTheme="minorHAnsi" w:eastAsia="Calibri" w:hAnsiTheme="minorHAnsi" w:cstheme="minorHAnsi"/>
          <w:spacing w:val="-1"/>
          <w:sz w:val="17"/>
          <w:szCs w:val="17"/>
        </w:rPr>
        <w:t xml:space="preserve"> Tercero, el ejercicio “Contigo Informamos.</w:t>
      </w:r>
    </w:p>
    <w:p w14:paraId="324984B6" w14:textId="77777777" w:rsidR="00BD5981" w:rsidRPr="001045B7" w:rsidRDefault="00BD5981" w:rsidP="00BD5981">
      <w:pPr>
        <w:jc w:val="both"/>
        <w:rPr>
          <w:rFonts w:asciiTheme="minorHAnsi" w:eastAsia="Calibri" w:hAnsiTheme="minorHAnsi" w:cstheme="minorHAnsi"/>
          <w:spacing w:val="-1"/>
          <w:sz w:val="17"/>
          <w:szCs w:val="17"/>
        </w:rPr>
      </w:pPr>
    </w:p>
    <w:p w14:paraId="49750A97" w14:textId="77777777" w:rsidR="00BD5981" w:rsidRPr="001045B7" w:rsidRDefault="00BD5981"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De igual manera informó que la creación de empleo anual registra una cifra superior a los 619 mil, condición que consolida al estado como el tercero en el país con mayor formalidad laboral, con un 60.5% de trabajadores asegurados. También remarcó que es el quinto en salarios con un promedio de 628.56 pesos diarios, superando la media nacional de 580.50 pesos.</w:t>
      </w:r>
    </w:p>
    <w:p w14:paraId="2A241FD8" w14:textId="77777777" w:rsidR="00BD5981" w:rsidRPr="001045B7" w:rsidRDefault="00BD5981" w:rsidP="00BD5981">
      <w:pPr>
        <w:jc w:val="both"/>
        <w:rPr>
          <w:rFonts w:asciiTheme="minorHAnsi" w:eastAsia="Calibri" w:hAnsiTheme="minorHAnsi" w:cstheme="minorHAnsi"/>
          <w:spacing w:val="-1"/>
          <w:sz w:val="17"/>
          <w:szCs w:val="17"/>
        </w:rPr>
      </w:pPr>
    </w:p>
    <w:p w14:paraId="46E664E7" w14:textId="77777777" w:rsidR="00BD5981" w:rsidRPr="001045B7" w:rsidRDefault="00BD5981"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Refirió que el sector manufacturero representa el 34.5% del empleo estatal, mientras que el de servicios para empresas creció un 19.4% mostrando la fortaleza de la infraestructura de negocios. Asimismo, detalló, se ha logrado una reducción significativa de la pobreza laboral, alcanzando un 30.3% en el tercer trimestre de 2024, muy por debajo de la media nacional del 35.1%.</w:t>
      </w:r>
    </w:p>
    <w:p w14:paraId="0FB9DE0B" w14:textId="77777777" w:rsidR="00BD5981" w:rsidRPr="001045B7" w:rsidRDefault="00BD5981" w:rsidP="00BD5981">
      <w:pPr>
        <w:jc w:val="both"/>
        <w:rPr>
          <w:rFonts w:asciiTheme="minorHAnsi" w:eastAsia="Calibri" w:hAnsiTheme="minorHAnsi" w:cstheme="minorHAnsi"/>
          <w:spacing w:val="-1"/>
          <w:sz w:val="17"/>
          <w:szCs w:val="17"/>
        </w:rPr>
      </w:pPr>
    </w:p>
    <w:p w14:paraId="68880397" w14:textId="77777777" w:rsidR="00BD5981" w:rsidRPr="001045B7" w:rsidRDefault="00BD5981"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El funcionario estatal mencionó que durante este año se concretaron 53 proyectos de inversión que representan 32,132 millones de pesos y 15,730 nuevos empleos en sectores clave como el automotriz, Tecnologías de la Información, aeroespacial y médico.</w:t>
      </w:r>
    </w:p>
    <w:p w14:paraId="44FEAF84" w14:textId="77777777" w:rsidR="00BD5981" w:rsidRPr="001045B7" w:rsidRDefault="00BD5981" w:rsidP="00BD5981">
      <w:pPr>
        <w:jc w:val="both"/>
        <w:rPr>
          <w:rFonts w:asciiTheme="minorHAnsi" w:eastAsia="Calibri" w:hAnsiTheme="minorHAnsi" w:cstheme="minorHAnsi"/>
          <w:spacing w:val="-1"/>
          <w:sz w:val="17"/>
          <w:szCs w:val="17"/>
        </w:rPr>
      </w:pPr>
    </w:p>
    <w:p w14:paraId="79A037DC" w14:textId="77777777" w:rsidR="00BD5981" w:rsidRPr="001045B7" w:rsidRDefault="00BD5981"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Finalmente ofreció una visión a futuro del Aeropuerto Internacional de Querétaro (</w:t>
      </w:r>
      <w:proofErr w:type="spellStart"/>
      <w:r w:rsidRPr="001045B7">
        <w:rPr>
          <w:rFonts w:asciiTheme="minorHAnsi" w:eastAsia="Calibri" w:hAnsiTheme="minorHAnsi" w:cstheme="minorHAnsi"/>
          <w:spacing w:val="-1"/>
          <w:sz w:val="17"/>
          <w:szCs w:val="17"/>
        </w:rPr>
        <w:t>AIQ</w:t>
      </w:r>
      <w:proofErr w:type="spellEnd"/>
      <w:r w:rsidRPr="001045B7">
        <w:rPr>
          <w:rFonts w:asciiTheme="minorHAnsi" w:eastAsia="Calibri" w:hAnsiTheme="minorHAnsi" w:cstheme="minorHAnsi"/>
          <w:spacing w:val="-1"/>
          <w:sz w:val="17"/>
          <w:szCs w:val="17"/>
        </w:rPr>
        <w:t>), el cual, dijo, avanza con una expansión sin precedentes para 2050 que considera una nueva terminal de pasajeros y una segunda pista de aterrizaje, consolidando su posición como un centro logístico clave en México y América Latina.</w:t>
      </w:r>
    </w:p>
    <w:p w14:paraId="128BFC1E" w14:textId="77777777" w:rsidR="00BD5981" w:rsidRPr="001045B7" w:rsidRDefault="00BD5981" w:rsidP="00BD5981">
      <w:pPr>
        <w:jc w:val="both"/>
        <w:rPr>
          <w:rFonts w:asciiTheme="minorHAnsi" w:eastAsia="Calibri" w:hAnsiTheme="minorHAnsi" w:cstheme="minorHAnsi"/>
          <w:spacing w:val="-1"/>
          <w:sz w:val="17"/>
          <w:szCs w:val="17"/>
        </w:rPr>
      </w:pPr>
    </w:p>
    <w:p w14:paraId="25CA9DA5" w14:textId="53CF6F38" w:rsidR="00BD5981" w:rsidRPr="001045B7" w:rsidRDefault="001D1809" w:rsidP="00BD5981">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Para</w:t>
      </w:r>
      <w:r w:rsidR="00BD5981" w:rsidRPr="001045B7">
        <w:rPr>
          <w:rFonts w:asciiTheme="minorHAnsi" w:eastAsia="Calibri" w:hAnsiTheme="minorHAnsi" w:cstheme="minorHAnsi"/>
          <w:spacing w:val="-1"/>
          <w:sz w:val="17"/>
          <w:szCs w:val="17"/>
        </w:rPr>
        <w:t xml:space="preserve"> 2050 se prevé llegar a 17 mil empleos directos en el </w:t>
      </w:r>
      <w:proofErr w:type="spellStart"/>
      <w:r w:rsidR="00BD5981" w:rsidRPr="001045B7">
        <w:rPr>
          <w:rFonts w:asciiTheme="minorHAnsi" w:eastAsia="Calibri" w:hAnsiTheme="minorHAnsi" w:cstheme="minorHAnsi"/>
          <w:spacing w:val="-1"/>
          <w:sz w:val="17"/>
          <w:szCs w:val="17"/>
        </w:rPr>
        <w:t>AIQ</w:t>
      </w:r>
      <w:proofErr w:type="spellEnd"/>
      <w:r w:rsidR="00BD5981" w:rsidRPr="001045B7">
        <w:rPr>
          <w:rFonts w:asciiTheme="minorHAnsi" w:eastAsia="Calibri" w:hAnsiTheme="minorHAnsi" w:cstheme="minorHAnsi"/>
          <w:spacing w:val="-1"/>
          <w:sz w:val="17"/>
          <w:szCs w:val="17"/>
        </w:rPr>
        <w:t>, 7,500 millones de pesos anuales en aportación al PIB y más de mil millones de pesos en inversión en infraestructura, esto último contemplado para 2029.</w:t>
      </w:r>
      <w:r w:rsidR="00C85942" w:rsidRPr="001045B7">
        <w:rPr>
          <w:rFonts w:asciiTheme="minorHAnsi" w:eastAsia="Calibri" w:hAnsiTheme="minorHAnsi" w:cstheme="minorHAnsi"/>
          <w:spacing w:val="-1"/>
          <w:sz w:val="17"/>
          <w:szCs w:val="17"/>
        </w:rPr>
        <w:t xml:space="preserve"> C</w:t>
      </w:r>
      <w:r w:rsidR="00BD5981" w:rsidRPr="001045B7">
        <w:rPr>
          <w:rFonts w:asciiTheme="minorHAnsi" w:eastAsia="Calibri" w:hAnsiTheme="minorHAnsi" w:cstheme="minorHAnsi"/>
          <w:spacing w:val="-1"/>
          <w:sz w:val="17"/>
          <w:szCs w:val="17"/>
        </w:rPr>
        <w:t xml:space="preserve">on la creación de la Ciudad Aeropuerto, el </w:t>
      </w:r>
      <w:proofErr w:type="spellStart"/>
      <w:r w:rsidR="00BD5981" w:rsidRPr="001045B7">
        <w:rPr>
          <w:rFonts w:asciiTheme="minorHAnsi" w:eastAsia="Calibri" w:hAnsiTheme="minorHAnsi" w:cstheme="minorHAnsi"/>
          <w:spacing w:val="-1"/>
          <w:sz w:val="17"/>
          <w:szCs w:val="17"/>
        </w:rPr>
        <w:t>AIQ</w:t>
      </w:r>
      <w:proofErr w:type="spellEnd"/>
      <w:r w:rsidR="00BD5981" w:rsidRPr="001045B7">
        <w:rPr>
          <w:rFonts w:asciiTheme="minorHAnsi" w:eastAsia="Calibri" w:hAnsiTheme="minorHAnsi" w:cstheme="minorHAnsi"/>
          <w:spacing w:val="-1"/>
          <w:sz w:val="17"/>
          <w:szCs w:val="17"/>
        </w:rPr>
        <w:t xml:space="preserve"> se transformará en un ecosistema integral de negocios, servicios y conectividad global, integrando transporte terrestre, aéreo y ferroviario para el desarrollo económico de toda la región.</w:t>
      </w:r>
    </w:p>
    <w:p w14:paraId="57EA8D23" w14:textId="5C3550BA" w:rsidR="001F306A" w:rsidRPr="001045B7" w:rsidRDefault="001F306A" w:rsidP="00BD5981">
      <w:pPr>
        <w:jc w:val="both"/>
        <w:rPr>
          <w:rFonts w:asciiTheme="minorHAnsi" w:eastAsia="Calibri" w:hAnsiTheme="minorHAnsi" w:cstheme="minorHAnsi"/>
          <w:spacing w:val="-1"/>
          <w:sz w:val="17"/>
          <w:szCs w:val="17"/>
        </w:rPr>
      </w:pPr>
    </w:p>
    <w:p w14:paraId="5DBA6480" w14:textId="77777777" w:rsidR="001F306A" w:rsidRPr="001045B7" w:rsidRDefault="001F306A" w:rsidP="001F306A">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 xml:space="preserve">Amazon Web </w:t>
      </w:r>
      <w:proofErr w:type="spellStart"/>
      <w:r w:rsidRPr="001045B7">
        <w:rPr>
          <w:rFonts w:asciiTheme="minorHAnsi" w:eastAsia="Calibri" w:hAnsiTheme="minorHAnsi" w:cstheme="minorHAnsi"/>
          <w:spacing w:val="-1"/>
          <w:sz w:val="17"/>
          <w:szCs w:val="17"/>
        </w:rPr>
        <w:t>Services</w:t>
      </w:r>
      <w:proofErr w:type="spellEnd"/>
      <w:r w:rsidRPr="001045B7">
        <w:rPr>
          <w:rFonts w:asciiTheme="minorHAnsi" w:eastAsia="Calibri" w:hAnsiTheme="minorHAnsi" w:cstheme="minorHAnsi"/>
          <w:spacing w:val="-1"/>
          <w:sz w:val="17"/>
          <w:szCs w:val="17"/>
        </w:rPr>
        <w:t xml:space="preserve"> inauguró su región de datos de Querétaro que representará una inversión de 5 mil millones de dólares en los próximos 15 años y que impulsará la economía digital del país, ya que permite a empresas, desarrolladores, emprendedores y organizaciones de todo tipo utilizar los servicios en la nube.</w:t>
      </w:r>
    </w:p>
    <w:p w14:paraId="52AE634E" w14:textId="77777777" w:rsidR="001F306A" w:rsidRPr="001045B7" w:rsidRDefault="001F306A" w:rsidP="001F306A">
      <w:pPr>
        <w:jc w:val="both"/>
        <w:rPr>
          <w:rFonts w:asciiTheme="minorHAnsi" w:eastAsia="Calibri" w:hAnsiTheme="minorHAnsi" w:cstheme="minorHAnsi"/>
          <w:spacing w:val="-1"/>
          <w:sz w:val="17"/>
          <w:szCs w:val="17"/>
        </w:rPr>
      </w:pPr>
    </w:p>
    <w:p w14:paraId="0466E7AF" w14:textId="1DB20831" w:rsidR="001F306A" w:rsidRPr="001045B7" w:rsidRDefault="00A21BDF" w:rsidP="001F306A">
      <w:pPr>
        <w:jc w:val="both"/>
        <w:rPr>
          <w:rFonts w:asciiTheme="minorHAnsi" w:eastAsia="Calibri" w:hAnsiTheme="minorHAnsi" w:cstheme="minorHAnsi"/>
          <w:spacing w:val="-1"/>
          <w:sz w:val="17"/>
          <w:szCs w:val="17"/>
        </w:rPr>
      </w:pPr>
      <w:r w:rsidRPr="001045B7">
        <w:rPr>
          <w:rFonts w:asciiTheme="minorHAnsi" w:eastAsia="Calibri" w:hAnsiTheme="minorHAnsi" w:cstheme="minorHAnsi"/>
          <w:spacing w:val="-1"/>
          <w:sz w:val="17"/>
          <w:szCs w:val="17"/>
        </w:rPr>
        <w:t>AWS destacó que se generarán 7 mil empleos en empresas locales cada año, puestos especializados de tecnología y otras carreras.</w:t>
      </w:r>
    </w:p>
    <w:p w14:paraId="6D2C1E28" w14:textId="77777777" w:rsidR="00BD5981" w:rsidRPr="001045B7" w:rsidRDefault="00BD5981" w:rsidP="00860054">
      <w:pPr>
        <w:jc w:val="both"/>
        <w:rPr>
          <w:rFonts w:asciiTheme="minorHAnsi" w:hAnsiTheme="minorHAnsi" w:cstheme="minorHAnsi"/>
          <w:sz w:val="12"/>
          <w:szCs w:val="17"/>
        </w:rPr>
      </w:pPr>
    </w:p>
    <w:p w14:paraId="27F6C96C" w14:textId="690E85B3" w:rsidR="009310F5" w:rsidRPr="001045B7" w:rsidRDefault="009310F5" w:rsidP="00860054">
      <w:pPr>
        <w:jc w:val="both"/>
        <w:rPr>
          <w:rFonts w:asciiTheme="minorHAnsi" w:hAnsiTheme="minorHAnsi" w:cstheme="minorHAnsi"/>
          <w:sz w:val="12"/>
          <w:szCs w:val="17"/>
        </w:rPr>
      </w:pPr>
      <w:r w:rsidRPr="001045B7">
        <w:rPr>
          <w:rFonts w:asciiTheme="minorHAnsi" w:hAnsiTheme="minorHAnsi" w:cstheme="minorHAnsi"/>
          <w:sz w:val="12"/>
          <w:szCs w:val="17"/>
        </w:rPr>
        <w:t>Fuente:</w:t>
      </w:r>
    </w:p>
    <w:p w14:paraId="4199F2A6" w14:textId="77777777" w:rsidR="009310F5" w:rsidRPr="001045B7" w:rsidRDefault="009310F5" w:rsidP="00860054">
      <w:pPr>
        <w:jc w:val="both"/>
        <w:rPr>
          <w:rFonts w:asciiTheme="minorHAnsi" w:hAnsiTheme="minorHAnsi" w:cstheme="minorHAnsi"/>
          <w:sz w:val="12"/>
          <w:szCs w:val="17"/>
        </w:rPr>
      </w:pPr>
    </w:p>
    <w:p w14:paraId="5FA66901" w14:textId="721FA5F8" w:rsidR="00F317FC" w:rsidRPr="001045B7" w:rsidRDefault="001556DC" w:rsidP="00F317FC">
      <w:pPr>
        <w:jc w:val="both"/>
        <w:rPr>
          <w:rFonts w:asciiTheme="minorHAnsi" w:hAnsiTheme="minorHAnsi" w:cstheme="minorHAnsi"/>
          <w:sz w:val="12"/>
          <w:szCs w:val="17"/>
        </w:rPr>
      </w:pPr>
      <w:r w:rsidRPr="001045B7">
        <w:rPr>
          <w:rFonts w:asciiTheme="minorHAnsi" w:hAnsiTheme="minorHAnsi" w:cstheme="minorHAnsi"/>
          <w:sz w:val="12"/>
          <w:szCs w:val="17"/>
        </w:rPr>
        <w:t>•</w:t>
      </w:r>
      <w:r w:rsidRPr="001045B7">
        <w:rPr>
          <w:rFonts w:asciiTheme="minorHAnsi" w:hAnsiTheme="minorHAnsi" w:cstheme="minorHAnsi"/>
          <w:sz w:val="12"/>
          <w:szCs w:val="17"/>
        </w:rPr>
        <w:tab/>
      </w:r>
      <w:r w:rsidR="00F317FC" w:rsidRPr="001045B7">
        <w:rPr>
          <w:rFonts w:asciiTheme="minorHAnsi" w:hAnsiTheme="minorHAnsi" w:cstheme="minorHAnsi"/>
          <w:sz w:val="12"/>
          <w:szCs w:val="17"/>
        </w:rPr>
        <w:t xml:space="preserve">Banco de México, </w:t>
      </w:r>
      <w:r w:rsidR="009675F1" w:rsidRPr="001045B7">
        <w:rPr>
          <w:rFonts w:asciiTheme="minorHAnsi" w:hAnsiTheme="minorHAnsi" w:cstheme="minorHAnsi"/>
          <w:sz w:val="12"/>
          <w:szCs w:val="17"/>
        </w:rPr>
        <w:t xml:space="preserve">(2024), Informe Trimestral </w:t>
      </w:r>
      <w:r w:rsidR="0077051A" w:rsidRPr="001045B7">
        <w:rPr>
          <w:rFonts w:asciiTheme="minorHAnsi" w:hAnsiTheme="minorHAnsi" w:cstheme="minorHAnsi"/>
          <w:sz w:val="12"/>
          <w:szCs w:val="17"/>
        </w:rPr>
        <w:t>Julio</w:t>
      </w:r>
      <w:r w:rsidR="00F317FC" w:rsidRPr="001045B7">
        <w:rPr>
          <w:rFonts w:asciiTheme="minorHAnsi" w:hAnsiTheme="minorHAnsi" w:cstheme="minorHAnsi"/>
          <w:sz w:val="12"/>
          <w:szCs w:val="17"/>
        </w:rPr>
        <w:t xml:space="preserve"> - </w:t>
      </w:r>
      <w:proofErr w:type="gramStart"/>
      <w:r w:rsidR="0077051A" w:rsidRPr="001045B7">
        <w:rPr>
          <w:rFonts w:asciiTheme="minorHAnsi" w:hAnsiTheme="minorHAnsi" w:cstheme="minorHAnsi"/>
          <w:sz w:val="12"/>
          <w:szCs w:val="17"/>
        </w:rPr>
        <w:t>Septiembre</w:t>
      </w:r>
      <w:proofErr w:type="gramEnd"/>
      <w:r w:rsidR="00F317FC" w:rsidRPr="001045B7">
        <w:rPr>
          <w:rFonts w:asciiTheme="minorHAnsi" w:hAnsiTheme="minorHAnsi" w:cstheme="minorHAnsi"/>
          <w:sz w:val="12"/>
          <w:szCs w:val="17"/>
        </w:rPr>
        <w:t xml:space="preserve"> 2024. México: Autor</w:t>
      </w:r>
    </w:p>
    <w:p w14:paraId="290F2CA9" w14:textId="355C0702" w:rsidR="00F317FC" w:rsidRPr="001045B7" w:rsidRDefault="00F317FC" w:rsidP="00F317FC">
      <w:pPr>
        <w:jc w:val="both"/>
        <w:rPr>
          <w:rFonts w:asciiTheme="minorHAnsi" w:hAnsiTheme="minorHAnsi" w:cstheme="minorHAnsi"/>
          <w:sz w:val="12"/>
          <w:szCs w:val="17"/>
        </w:rPr>
      </w:pPr>
      <w:r w:rsidRPr="001045B7">
        <w:rPr>
          <w:rFonts w:asciiTheme="minorHAnsi" w:hAnsiTheme="minorHAnsi" w:cstheme="minorHAnsi"/>
          <w:sz w:val="12"/>
          <w:szCs w:val="17"/>
        </w:rPr>
        <w:t>•</w:t>
      </w:r>
      <w:r w:rsidRPr="001045B7">
        <w:rPr>
          <w:rFonts w:asciiTheme="minorHAnsi" w:hAnsiTheme="minorHAnsi" w:cstheme="minorHAnsi"/>
          <w:sz w:val="12"/>
          <w:szCs w:val="17"/>
        </w:rPr>
        <w:tab/>
        <w:t xml:space="preserve">Banco de México, (2024), Resumen Ejecutivo del Informe Trimestral </w:t>
      </w:r>
      <w:r w:rsidR="0077051A" w:rsidRPr="001045B7">
        <w:rPr>
          <w:rFonts w:asciiTheme="minorHAnsi" w:hAnsiTheme="minorHAnsi" w:cstheme="minorHAnsi"/>
          <w:sz w:val="12"/>
          <w:szCs w:val="17"/>
        </w:rPr>
        <w:t>Julio</w:t>
      </w:r>
      <w:r w:rsidRPr="001045B7">
        <w:rPr>
          <w:rFonts w:asciiTheme="minorHAnsi" w:hAnsiTheme="minorHAnsi" w:cstheme="minorHAnsi"/>
          <w:sz w:val="12"/>
          <w:szCs w:val="17"/>
        </w:rPr>
        <w:t xml:space="preserve"> - </w:t>
      </w:r>
      <w:proofErr w:type="gramStart"/>
      <w:r w:rsidR="0077051A" w:rsidRPr="001045B7">
        <w:rPr>
          <w:rFonts w:asciiTheme="minorHAnsi" w:hAnsiTheme="minorHAnsi" w:cstheme="minorHAnsi"/>
          <w:sz w:val="12"/>
          <w:szCs w:val="17"/>
        </w:rPr>
        <w:t>Septiembre</w:t>
      </w:r>
      <w:proofErr w:type="gramEnd"/>
      <w:r w:rsidRPr="001045B7">
        <w:rPr>
          <w:rFonts w:asciiTheme="minorHAnsi" w:hAnsiTheme="minorHAnsi" w:cstheme="minorHAnsi"/>
          <w:sz w:val="12"/>
          <w:szCs w:val="17"/>
        </w:rPr>
        <w:t xml:space="preserve"> 2024. México: Autor</w:t>
      </w:r>
    </w:p>
    <w:p w14:paraId="1E961B97" w14:textId="6EF1BC43" w:rsidR="002E7586" w:rsidRPr="001045B7" w:rsidRDefault="00F317FC" w:rsidP="002E7586">
      <w:pPr>
        <w:jc w:val="both"/>
        <w:rPr>
          <w:rFonts w:asciiTheme="minorHAnsi" w:hAnsiTheme="minorHAnsi" w:cstheme="minorHAnsi"/>
          <w:sz w:val="12"/>
          <w:szCs w:val="17"/>
        </w:rPr>
      </w:pPr>
      <w:r w:rsidRPr="001045B7">
        <w:rPr>
          <w:rFonts w:asciiTheme="minorHAnsi" w:hAnsiTheme="minorHAnsi" w:cstheme="minorHAnsi"/>
          <w:sz w:val="12"/>
          <w:szCs w:val="17"/>
        </w:rPr>
        <w:t>•</w:t>
      </w:r>
      <w:r w:rsidRPr="001045B7">
        <w:rPr>
          <w:rFonts w:asciiTheme="minorHAnsi" w:hAnsiTheme="minorHAnsi" w:cstheme="minorHAnsi"/>
          <w:sz w:val="12"/>
          <w:szCs w:val="17"/>
        </w:rPr>
        <w:tab/>
      </w:r>
      <w:proofErr w:type="spellStart"/>
      <w:r w:rsidR="00C85942" w:rsidRPr="001045B7">
        <w:rPr>
          <w:rFonts w:asciiTheme="minorHAnsi" w:hAnsiTheme="minorHAnsi" w:cstheme="minorHAnsi"/>
          <w:sz w:val="12"/>
          <w:szCs w:val="17"/>
        </w:rPr>
        <w:t>Esrella</w:t>
      </w:r>
      <w:proofErr w:type="spellEnd"/>
      <w:r w:rsidR="00C85942" w:rsidRPr="001045B7">
        <w:rPr>
          <w:rFonts w:asciiTheme="minorHAnsi" w:hAnsiTheme="minorHAnsi" w:cstheme="minorHAnsi"/>
          <w:sz w:val="12"/>
          <w:szCs w:val="17"/>
        </w:rPr>
        <w:t xml:space="preserve">, Viviana (2024) Durante 2024 van 53 inversiones concretadas en Querétaro. </w:t>
      </w:r>
      <w:r w:rsidR="002E7586" w:rsidRPr="001045B7">
        <w:rPr>
          <w:rFonts w:asciiTheme="minorHAnsi" w:hAnsiTheme="minorHAnsi" w:cstheme="minorHAnsi"/>
          <w:sz w:val="12"/>
          <w:szCs w:val="17"/>
        </w:rPr>
        <w:t>El Economista. Obtenido el 16 de enero de 2025. Disponible: https://www.eleconomista.com.mx/estados/2024-53-inversiones-concretadas-queretaro-20241212-738130.html</w:t>
      </w:r>
    </w:p>
    <w:p w14:paraId="486A48BE" w14:textId="608B2F53" w:rsidR="00275B6B" w:rsidRPr="001045B7" w:rsidRDefault="002E7586" w:rsidP="00275B6B">
      <w:pPr>
        <w:jc w:val="both"/>
        <w:rPr>
          <w:rFonts w:asciiTheme="minorHAnsi" w:hAnsiTheme="minorHAnsi" w:cstheme="minorHAnsi"/>
          <w:sz w:val="12"/>
          <w:szCs w:val="17"/>
        </w:rPr>
      </w:pPr>
      <w:r w:rsidRPr="001045B7">
        <w:rPr>
          <w:rFonts w:asciiTheme="minorHAnsi" w:hAnsiTheme="minorHAnsi" w:cstheme="minorHAnsi"/>
          <w:sz w:val="12"/>
          <w:szCs w:val="17"/>
        </w:rPr>
        <w:t>•</w:t>
      </w:r>
      <w:r w:rsidRPr="001045B7">
        <w:rPr>
          <w:rFonts w:asciiTheme="minorHAnsi" w:hAnsiTheme="minorHAnsi" w:cstheme="minorHAnsi"/>
          <w:sz w:val="12"/>
          <w:szCs w:val="17"/>
        </w:rPr>
        <w:tab/>
      </w:r>
      <w:r w:rsidR="00CD4A00" w:rsidRPr="001045B7">
        <w:rPr>
          <w:rFonts w:asciiTheme="minorHAnsi" w:hAnsiTheme="minorHAnsi" w:cstheme="minorHAnsi"/>
          <w:sz w:val="12"/>
          <w:szCs w:val="17"/>
        </w:rPr>
        <w:t>Conde, Cecilia (2024)</w:t>
      </w:r>
      <w:r w:rsidR="00F317FC" w:rsidRPr="001045B7">
        <w:rPr>
          <w:rFonts w:asciiTheme="minorHAnsi" w:hAnsiTheme="minorHAnsi" w:cstheme="minorHAnsi"/>
          <w:sz w:val="12"/>
          <w:szCs w:val="17"/>
        </w:rPr>
        <w:t xml:space="preserve">. </w:t>
      </w:r>
      <w:r w:rsidR="001F306A" w:rsidRPr="001045B7">
        <w:rPr>
          <w:rFonts w:asciiTheme="minorHAnsi" w:hAnsiTheme="minorHAnsi" w:cstheme="minorHAnsi"/>
          <w:sz w:val="12"/>
          <w:szCs w:val="17"/>
        </w:rPr>
        <w:t>Comienza Amazon la transformación digital.</w:t>
      </w:r>
      <w:r w:rsidR="00F317FC" w:rsidRPr="001045B7">
        <w:rPr>
          <w:rFonts w:asciiTheme="minorHAnsi" w:hAnsiTheme="minorHAnsi" w:cstheme="minorHAnsi"/>
          <w:sz w:val="12"/>
          <w:szCs w:val="17"/>
        </w:rPr>
        <w:t xml:space="preserve"> </w:t>
      </w:r>
      <w:r w:rsidR="00CD4A00" w:rsidRPr="001045B7">
        <w:rPr>
          <w:rFonts w:asciiTheme="minorHAnsi" w:hAnsiTheme="minorHAnsi" w:cstheme="minorHAnsi"/>
          <w:sz w:val="12"/>
          <w:szCs w:val="17"/>
        </w:rPr>
        <w:t>Diario de Querétaro. Obtenido el 1</w:t>
      </w:r>
      <w:r w:rsidR="001F306A" w:rsidRPr="001045B7">
        <w:rPr>
          <w:rFonts w:asciiTheme="minorHAnsi" w:hAnsiTheme="minorHAnsi" w:cstheme="minorHAnsi"/>
          <w:sz w:val="12"/>
          <w:szCs w:val="17"/>
        </w:rPr>
        <w:t>6</w:t>
      </w:r>
      <w:r w:rsidR="00F317FC" w:rsidRPr="001045B7">
        <w:rPr>
          <w:rFonts w:asciiTheme="minorHAnsi" w:hAnsiTheme="minorHAnsi" w:cstheme="minorHAnsi"/>
          <w:sz w:val="12"/>
          <w:szCs w:val="17"/>
        </w:rPr>
        <w:t xml:space="preserve"> de </w:t>
      </w:r>
      <w:r w:rsidR="001F306A" w:rsidRPr="001045B7">
        <w:rPr>
          <w:rFonts w:asciiTheme="minorHAnsi" w:hAnsiTheme="minorHAnsi" w:cstheme="minorHAnsi"/>
          <w:sz w:val="12"/>
          <w:szCs w:val="17"/>
        </w:rPr>
        <w:t>enero</w:t>
      </w:r>
      <w:r w:rsidR="00F317FC" w:rsidRPr="001045B7">
        <w:rPr>
          <w:rFonts w:asciiTheme="minorHAnsi" w:hAnsiTheme="minorHAnsi" w:cstheme="minorHAnsi"/>
          <w:sz w:val="12"/>
          <w:szCs w:val="17"/>
        </w:rPr>
        <w:t xml:space="preserve"> de 20</w:t>
      </w:r>
      <w:r w:rsidR="003C055E">
        <w:rPr>
          <w:rFonts w:asciiTheme="minorHAnsi" w:hAnsiTheme="minorHAnsi" w:cstheme="minorHAnsi"/>
          <w:sz w:val="12"/>
          <w:szCs w:val="17"/>
        </w:rPr>
        <w:t>2</w:t>
      </w:r>
      <w:r w:rsidR="00F317FC" w:rsidRPr="001045B7">
        <w:rPr>
          <w:rFonts w:asciiTheme="minorHAnsi" w:hAnsiTheme="minorHAnsi" w:cstheme="minorHAnsi"/>
          <w:sz w:val="12"/>
          <w:szCs w:val="17"/>
        </w:rPr>
        <w:t xml:space="preserve">4. Disponible: </w:t>
      </w:r>
      <w:r w:rsidR="00275B6B" w:rsidRPr="001045B7">
        <w:rPr>
          <w:rFonts w:asciiTheme="minorHAnsi" w:hAnsiTheme="minorHAnsi" w:cstheme="minorHAnsi"/>
          <w:sz w:val="12"/>
          <w:szCs w:val="17"/>
        </w:rPr>
        <w:t>https://oem.com.mx/diariodequeretaro/finanzas/comienza-amazon-la-transformacion-digital-21132848</w:t>
      </w:r>
    </w:p>
    <w:p w14:paraId="503DEC44" w14:textId="72EB5751" w:rsidR="00275B6B" w:rsidRPr="001045B7" w:rsidRDefault="00275B6B" w:rsidP="00275B6B">
      <w:pPr>
        <w:jc w:val="both"/>
        <w:rPr>
          <w:rFonts w:asciiTheme="minorHAnsi" w:hAnsiTheme="minorHAnsi" w:cstheme="minorHAnsi"/>
          <w:sz w:val="12"/>
          <w:szCs w:val="17"/>
        </w:rPr>
      </w:pPr>
    </w:p>
    <w:p w14:paraId="4981AD65" w14:textId="77777777" w:rsidR="00657C8B" w:rsidRPr="001045B7" w:rsidRDefault="00657C8B" w:rsidP="00275B6B">
      <w:pPr>
        <w:jc w:val="both"/>
        <w:rPr>
          <w:rFonts w:asciiTheme="minorHAnsi" w:hAnsiTheme="minorHAnsi" w:cstheme="minorHAnsi"/>
          <w:sz w:val="12"/>
          <w:szCs w:val="17"/>
        </w:rPr>
      </w:pPr>
    </w:p>
    <w:p w14:paraId="245B54D6" w14:textId="77777777" w:rsidR="00A21BDF" w:rsidRPr="001045B7" w:rsidRDefault="00A21BDF" w:rsidP="00275B6B">
      <w:pPr>
        <w:jc w:val="both"/>
        <w:rPr>
          <w:rFonts w:asciiTheme="minorHAnsi" w:hAnsiTheme="minorHAnsi" w:cstheme="minorHAnsi"/>
          <w:sz w:val="12"/>
          <w:szCs w:val="17"/>
        </w:rPr>
      </w:pPr>
    </w:p>
    <w:p w14:paraId="5B98CE4B" w14:textId="55FC6F12" w:rsidR="009310F5" w:rsidRPr="001045B7" w:rsidRDefault="009310F5" w:rsidP="00275B6B">
      <w:pPr>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Organización y Objeto Social</w:t>
      </w:r>
    </w:p>
    <w:p w14:paraId="102EEB84" w14:textId="77777777" w:rsidR="009310F5" w:rsidRPr="001045B7" w:rsidRDefault="009310F5" w:rsidP="00860054">
      <w:pPr>
        <w:spacing w:line="276" w:lineRule="auto"/>
        <w:jc w:val="both"/>
        <w:rPr>
          <w:rFonts w:asciiTheme="minorHAnsi" w:hAnsiTheme="minorHAnsi" w:cstheme="minorHAnsi"/>
          <w:sz w:val="17"/>
          <w:szCs w:val="17"/>
        </w:rPr>
      </w:pPr>
    </w:p>
    <w:p w14:paraId="730DD961" w14:textId="3777D4B3"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conformidad a la Constitución Política del Estado Libre y Soberano de Querétaro en su artículo 2, una de las funciones atribuidas al Poder Ejecutivo del Estado de Querétaro, como parte integrante del Gobierno del Estado de Querétaro, es:</w:t>
      </w:r>
    </w:p>
    <w:p w14:paraId="0B279BD1" w14:textId="77777777" w:rsidR="002517AF" w:rsidRPr="001045B7" w:rsidRDefault="002517AF" w:rsidP="00860054">
      <w:pPr>
        <w:spacing w:line="276" w:lineRule="auto"/>
        <w:jc w:val="both"/>
        <w:rPr>
          <w:rFonts w:asciiTheme="minorHAnsi" w:hAnsiTheme="minorHAnsi" w:cstheme="minorHAnsi"/>
          <w:sz w:val="17"/>
          <w:szCs w:val="17"/>
        </w:rPr>
      </w:pPr>
    </w:p>
    <w:p w14:paraId="75594171"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 xml:space="preserve">“…El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 </w:t>
      </w:r>
    </w:p>
    <w:p w14:paraId="7C3078C5"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14:paraId="67334273" w14:textId="56A362D6" w:rsidR="002517AF" w:rsidRDefault="009310F5" w:rsidP="009B4E8B">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14:paraId="551383DB" w14:textId="77777777" w:rsidR="003C055E" w:rsidRPr="001045B7" w:rsidRDefault="003C055E" w:rsidP="009B4E8B">
      <w:pPr>
        <w:spacing w:line="276" w:lineRule="auto"/>
        <w:ind w:left="708"/>
        <w:jc w:val="both"/>
        <w:rPr>
          <w:rFonts w:asciiTheme="minorHAnsi" w:hAnsiTheme="minorHAnsi" w:cstheme="minorHAnsi"/>
          <w:i/>
          <w:sz w:val="17"/>
          <w:szCs w:val="17"/>
        </w:rPr>
      </w:pPr>
    </w:p>
    <w:p w14:paraId="197CFD49" w14:textId="52A71C8A"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De la misma manera en su el artículo 3, se establece que:</w:t>
      </w:r>
    </w:p>
    <w:p w14:paraId="6FFEC98C" w14:textId="77777777" w:rsidR="009310F5" w:rsidRPr="001045B7" w:rsidRDefault="009310F5" w:rsidP="00860054">
      <w:pPr>
        <w:spacing w:line="276" w:lineRule="auto"/>
        <w:jc w:val="both"/>
        <w:rPr>
          <w:rFonts w:asciiTheme="minorHAnsi" w:hAnsiTheme="minorHAnsi" w:cstheme="minorHAnsi"/>
          <w:sz w:val="17"/>
          <w:szCs w:val="17"/>
        </w:rPr>
      </w:pPr>
    </w:p>
    <w:p w14:paraId="6B0D95E9"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14:paraId="033CF4EC"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14:paraId="548CBD27"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14:paraId="36415C95"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El Estado… impulsará el fomento, la organización y la promoción de las actividades formativas, recreativas y competitivas del deporte en la Entidad…</w:t>
      </w:r>
    </w:p>
    <w:p w14:paraId="14F47CA0" w14:textId="1869F7C1"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14:paraId="2C8F8F0A" w14:textId="77777777" w:rsidR="006F64FC" w:rsidRPr="001045B7" w:rsidRDefault="006F64FC" w:rsidP="00860054">
      <w:pPr>
        <w:spacing w:line="276" w:lineRule="auto"/>
        <w:jc w:val="both"/>
        <w:rPr>
          <w:rFonts w:asciiTheme="minorHAnsi" w:hAnsiTheme="minorHAnsi" w:cstheme="minorHAnsi"/>
          <w:sz w:val="17"/>
          <w:szCs w:val="17"/>
        </w:rPr>
      </w:pPr>
    </w:p>
    <w:p w14:paraId="2F0CA372" w14:textId="559ABE9E"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Asimismo, en el artículo 4 de la norma antes citada, menciona lo siguiente:</w:t>
      </w:r>
    </w:p>
    <w:p w14:paraId="66F18465" w14:textId="77777777" w:rsidR="009310F5" w:rsidRPr="001045B7" w:rsidRDefault="009310F5" w:rsidP="00860054">
      <w:pPr>
        <w:spacing w:line="276" w:lineRule="auto"/>
        <w:ind w:left="708"/>
        <w:jc w:val="both"/>
        <w:rPr>
          <w:rFonts w:asciiTheme="minorHAnsi" w:hAnsiTheme="minorHAnsi" w:cstheme="minorHAnsi"/>
          <w:i/>
          <w:sz w:val="17"/>
          <w:szCs w:val="17"/>
        </w:rPr>
      </w:pPr>
    </w:p>
    <w:p w14:paraId="12E72355" w14:textId="4DDB08E8"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14:paraId="48434254"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14:paraId="5754712C"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14:paraId="4AB9AD66" w14:textId="77777777" w:rsidR="009310F5" w:rsidRPr="001045B7" w:rsidRDefault="009310F5" w:rsidP="00860054">
      <w:pPr>
        <w:spacing w:line="276" w:lineRule="auto"/>
        <w:jc w:val="both"/>
        <w:rPr>
          <w:rFonts w:asciiTheme="minorHAnsi" w:hAnsiTheme="minorHAnsi" w:cstheme="minorHAnsi"/>
          <w:sz w:val="17"/>
          <w:szCs w:val="17"/>
        </w:rPr>
      </w:pPr>
    </w:p>
    <w:p w14:paraId="5D868AF6" w14:textId="2C3495E6"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Por su parte el artículo 5 del ordenamiento cita, se establece que:</w:t>
      </w:r>
    </w:p>
    <w:p w14:paraId="78675FF5" w14:textId="77777777" w:rsidR="009310F5" w:rsidRPr="001045B7" w:rsidRDefault="009310F5" w:rsidP="00860054">
      <w:pPr>
        <w:spacing w:line="276" w:lineRule="auto"/>
        <w:jc w:val="both"/>
        <w:rPr>
          <w:rFonts w:asciiTheme="minorHAnsi" w:hAnsiTheme="minorHAnsi" w:cstheme="minorHAnsi"/>
          <w:sz w:val="17"/>
          <w:szCs w:val="17"/>
        </w:rPr>
      </w:pPr>
    </w:p>
    <w:p w14:paraId="0D8DE160"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“Toda persona tiene derecho a un medio ambiente adecuado para su desarrollo y bienestar integral; es obligación de las autoridades y de los habitantes protegerlo.</w:t>
      </w:r>
    </w:p>
    <w:p w14:paraId="3F164E92" w14:textId="68B659C6" w:rsidR="009310F5" w:rsidRDefault="009310F5" w:rsidP="005D3CE8">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lastRenderedPageBreak/>
        <w:t>La protección, la conservación, la restauración y la sustentabilidad de los recursos naturales serán tareas prioritarias del Estado.…”</w:t>
      </w:r>
    </w:p>
    <w:p w14:paraId="369EEC61" w14:textId="77777777" w:rsidR="003C055E" w:rsidRPr="001045B7" w:rsidRDefault="003C055E" w:rsidP="005D3CE8">
      <w:pPr>
        <w:spacing w:line="276" w:lineRule="auto"/>
        <w:ind w:left="708"/>
        <w:jc w:val="both"/>
        <w:rPr>
          <w:rFonts w:asciiTheme="minorHAnsi" w:hAnsiTheme="minorHAnsi" w:cstheme="minorHAnsi"/>
          <w:i/>
          <w:sz w:val="17"/>
          <w:szCs w:val="17"/>
        </w:rPr>
      </w:pPr>
    </w:p>
    <w:p w14:paraId="55D107BC" w14:textId="0E79DBA1"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Por último, en el artículo 6 del citado ordenamiento, se señala que:</w:t>
      </w:r>
    </w:p>
    <w:p w14:paraId="73EB6163" w14:textId="77777777" w:rsidR="009310F5" w:rsidRPr="001045B7" w:rsidRDefault="009310F5" w:rsidP="00860054">
      <w:pPr>
        <w:spacing w:line="276" w:lineRule="auto"/>
        <w:jc w:val="both"/>
        <w:rPr>
          <w:rFonts w:asciiTheme="minorHAnsi" w:hAnsiTheme="minorHAnsi" w:cstheme="minorHAnsi"/>
          <w:sz w:val="17"/>
          <w:szCs w:val="17"/>
        </w:rPr>
      </w:pPr>
    </w:p>
    <w:p w14:paraId="4F22A930"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“Toda persona tiene derecho a acceder de forma libre y universal a Internet y a las tecnologías de la información y la comunicación.</w:t>
      </w:r>
    </w:p>
    <w:p w14:paraId="7FC173DF" w14:textId="77777777" w:rsidR="009310F5" w:rsidRPr="001045B7" w:rsidRDefault="009310F5" w:rsidP="00860054">
      <w:pPr>
        <w:spacing w:line="276" w:lineRule="auto"/>
        <w:ind w:left="708"/>
        <w:jc w:val="both"/>
        <w:rPr>
          <w:rFonts w:asciiTheme="minorHAnsi" w:hAnsiTheme="minorHAnsi" w:cstheme="minorHAnsi"/>
          <w:i/>
          <w:sz w:val="17"/>
          <w:szCs w:val="17"/>
        </w:rPr>
      </w:pPr>
      <w:r w:rsidRPr="001045B7">
        <w:rPr>
          <w:rFonts w:asciiTheme="minorHAnsi" w:hAnsiTheme="minorHAnsi" w:cstheme="minorHAnsi"/>
          <w:i/>
          <w:sz w:val="17"/>
          <w:szCs w:val="17"/>
        </w:rPr>
        <w:t>El Estado está obligado a implementar las políticas necesarias para hacer efectivo este derecho, en los términos establecidos por la Ley.”</w:t>
      </w:r>
    </w:p>
    <w:p w14:paraId="14603650" w14:textId="77777777" w:rsidR="009310F5" w:rsidRPr="001045B7" w:rsidRDefault="009310F5" w:rsidP="00860054">
      <w:pPr>
        <w:spacing w:line="276" w:lineRule="auto"/>
        <w:jc w:val="both"/>
        <w:rPr>
          <w:rFonts w:asciiTheme="minorHAnsi" w:hAnsiTheme="minorHAnsi" w:cstheme="minorHAnsi"/>
          <w:sz w:val="17"/>
          <w:szCs w:val="17"/>
        </w:rPr>
      </w:pPr>
    </w:p>
    <w:p w14:paraId="22EC36BA" w14:textId="6E96933C"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cuanto a las obligaciones fiscales del Poder Ejecutivo del Estado de Querétaro, se encuentran establecidos en los diversos ordenamientos legales fiscales tanto de ámbito federal, así como en el aspecto local.</w:t>
      </w:r>
    </w:p>
    <w:p w14:paraId="6F557CA1" w14:textId="58E7C7C1" w:rsidR="009310F5" w:rsidRPr="001045B7" w:rsidRDefault="009310F5" w:rsidP="00860054">
      <w:pPr>
        <w:spacing w:line="276" w:lineRule="auto"/>
        <w:jc w:val="both"/>
        <w:rPr>
          <w:rFonts w:asciiTheme="minorHAnsi" w:hAnsiTheme="minorHAnsi" w:cstheme="minorHAnsi"/>
          <w:sz w:val="17"/>
          <w:szCs w:val="17"/>
        </w:rPr>
      </w:pPr>
    </w:p>
    <w:p w14:paraId="528316D3" w14:textId="77777777" w:rsidR="009310F5" w:rsidRPr="001045B7" w:rsidRDefault="009310F5"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Bases de Preparación de los Estados Financieros</w:t>
      </w:r>
    </w:p>
    <w:p w14:paraId="0A0F8A47" w14:textId="77777777" w:rsidR="009310F5" w:rsidRPr="001045B7" w:rsidRDefault="009310F5" w:rsidP="00860054">
      <w:pPr>
        <w:spacing w:line="276" w:lineRule="auto"/>
        <w:jc w:val="both"/>
        <w:rPr>
          <w:rFonts w:asciiTheme="minorHAnsi" w:hAnsiTheme="minorHAnsi" w:cstheme="minorHAnsi"/>
          <w:sz w:val="17"/>
          <w:szCs w:val="17"/>
        </w:rPr>
      </w:pPr>
    </w:p>
    <w:p w14:paraId="11386F4E" w14:textId="73C68608" w:rsidR="009310F5" w:rsidRPr="001045B7" w:rsidRDefault="00105743"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Los</w:t>
      </w:r>
      <w:r w:rsidR="009310F5" w:rsidRPr="001045B7">
        <w:rPr>
          <w:rFonts w:asciiTheme="minorHAnsi" w:hAnsiTheme="minorHAnsi" w:cstheme="minorHAnsi"/>
          <w:sz w:val="17"/>
          <w:szCs w:val="17"/>
        </w:rPr>
        <w:t xml:space="preserve"> Estados Financieros, se han elaborado en apego a la normatividad y lineamientos vigentes, emitidos a la fecha por el Consejo Nacional de Armonización Contable (CONAC).</w:t>
      </w:r>
    </w:p>
    <w:p w14:paraId="36164AF8" w14:textId="77777777" w:rsidR="009310F5" w:rsidRPr="001045B7" w:rsidRDefault="009310F5" w:rsidP="00860054">
      <w:pPr>
        <w:spacing w:line="276" w:lineRule="auto"/>
        <w:jc w:val="both"/>
        <w:rPr>
          <w:rFonts w:asciiTheme="minorHAnsi" w:hAnsiTheme="minorHAnsi" w:cstheme="minorHAnsi"/>
          <w:sz w:val="17"/>
          <w:szCs w:val="17"/>
        </w:rPr>
      </w:pPr>
    </w:p>
    <w:p w14:paraId="4C677CC7" w14:textId="37D5910F"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Asimismo, en lo referente a la valuación y revelación de diversos rubros de la información financiera, se ha considerado lo establecido en las “Principales Reglas de Registro y Valoración del Patrimonio (Elementos Generales)” así como en las “Reglas Específicas de Registro y Valoración del Patrimonio”, ambas emitidas por el CONAC, tomando como base de medición para la elaboración de los estados financieros el costo histórico, dado que es el monto pagado de efectivo o equivalentes por un activo o servicio al momento de su adquisición.</w:t>
      </w:r>
    </w:p>
    <w:p w14:paraId="172ABD13" w14:textId="77777777" w:rsidR="000512CA" w:rsidRPr="001045B7" w:rsidRDefault="000512CA" w:rsidP="00860054">
      <w:pPr>
        <w:spacing w:line="276" w:lineRule="auto"/>
        <w:jc w:val="both"/>
        <w:rPr>
          <w:rFonts w:asciiTheme="minorHAnsi" w:hAnsiTheme="minorHAnsi" w:cstheme="minorHAnsi"/>
          <w:sz w:val="17"/>
          <w:szCs w:val="17"/>
        </w:rPr>
      </w:pPr>
    </w:p>
    <w:p w14:paraId="443ED6FB" w14:textId="7659150A"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lo referente a los postulados básicos, estos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14:paraId="39CA2EF4"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el tema de la Norma Supletoria, se aplica lo que señala el Marco Conceptual:</w:t>
      </w:r>
    </w:p>
    <w:p w14:paraId="1C782354" w14:textId="77777777" w:rsidR="009310F5" w:rsidRPr="001045B7" w:rsidRDefault="009310F5" w:rsidP="00860054">
      <w:pPr>
        <w:spacing w:line="276" w:lineRule="auto"/>
        <w:jc w:val="both"/>
        <w:rPr>
          <w:rFonts w:asciiTheme="minorHAnsi" w:hAnsiTheme="minorHAnsi" w:cstheme="minorHAnsi"/>
          <w:sz w:val="17"/>
          <w:szCs w:val="17"/>
        </w:rPr>
      </w:pPr>
    </w:p>
    <w:p w14:paraId="47F01B71"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w:t>
      </w:r>
      <w:r w:rsidRPr="001045B7">
        <w:rPr>
          <w:rFonts w:asciiTheme="minorHAnsi" w:hAnsiTheme="minorHAnsi" w:cstheme="minorHAnsi"/>
          <w:sz w:val="17"/>
          <w:szCs w:val="17"/>
        </w:rPr>
        <w:tab/>
        <w:t>La Normatividad emitida por las unidades administrativas o instancias competentes en materia de Contabilidad Gubernamental;</w:t>
      </w:r>
    </w:p>
    <w:p w14:paraId="6159944B" w14:textId="77777777"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b)</w:t>
      </w:r>
      <w:r w:rsidRPr="001045B7">
        <w:rPr>
          <w:rFonts w:asciiTheme="minorHAnsi" w:hAnsiTheme="minorHAnsi" w:cstheme="minorHAnsi"/>
          <w:sz w:val="17"/>
          <w:szCs w:val="17"/>
        </w:rPr>
        <w:tab/>
        <w:t>Las Normas Internacionales de Contabilidad para el Sector Público (</w:t>
      </w:r>
      <w:proofErr w:type="spellStart"/>
      <w:r w:rsidRPr="001045B7">
        <w:rPr>
          <w:rFonts w:asciiTheme="minorHAnsi" w:hAnsiTheme="minorHAnsi" w:cstheme="minorHAnsi"/>
          <w:sz w:val="17"/>
          <w:szCs w:val="17"/>
        </w:rPr>
        <w:t>NICSP</w:t>
      </w:r>
      <w:proofErr w:type="spellEnd"/>
      <w:r w:rsidRPr="001045B7">
        <w:rPr>
          <w:rFonts w:asciiTheme="minorHAnsi" w:hAnsiTheme="minorHAnsi" w:cstheme="minorHAnsi"/>
          <w:sz w:val="17"/>
          <w:szCs w:val="17"/>
        </w:rPr>
        <w:t xml:space="preserve">) emitidas por la Junta de Normas Internacionales de Contabilidad del Sector Público (International </w:t>
      </w:r>
      <w:proofErr w:type="spellStart"/>
      <w:r w:rsidRPr="001045B7">
        <w:rPr>
          <w:rFonts w:asciiTheme="minorHAnsi" w:hAnsiTheme="minorHAnsi" w:cstheme="minorHAnsi"/>
          <w:sz w:val="17"/>
          <w:szCs w:val="17"/>
        </w:rPr>
        <w:t>Public</w:t>
      </w:r>
      <w:proofErr w:type="spellEnd"/>
      <w:r w:rsidRPr="001045B7">
        <w:rPr>
          <w:rFonts w:asciiTheme="minorHAnsi" w:hAnsiTheme="minorHAnsi" w:cstheme="minorHAnsi"/>
          <w:sz w:val="17"/>
          <w:szCs w:val="17"/>
        </w:rPr>
        <w:t xml:space="preserve"> Sector </w:t>
      </w:r>
      <w:proofErr w:type="spellStart"/>
      <w:r w:rsidRPr="001045B7">
        <w:rPr>
          <w:rFonts w:asciiTheme="minorHAnsi" w:hAnsiTheme="minorHAnsi" w:cstheme="minorHAnsi"/>
          <w:sz w:val="17"/>
          <w:szCs w:val="17"/>
        </w:rPr>
        <w:t>Accounting</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Standards</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Board</w:t>
      </w:r>
      <w:proofErr w:type="spellEnd"/>
      <w:r w:rsidRPr="001045B7">
        <w:rPr>
          <w:rFonts w:asciiTheme="minorHAnsi" w:hAnsiTheme="minorHAnsi" w:cstheme="minorHAnsi"/>
          <w:sz w:val="17"/>
          <w:szCs w:val="17"/>
        </w:rPr>
        <w:t xml:space="preserve">, International </w:t>
      </w:r>
      <w:proofErr w:type="spellStart"/>
      <w:r w:rsidRPr="001045B7">
        <w:rPr>
          <w:rFonts w:asciiTheme="minorHAnsi" w:hAnsiTheme="minorHAnsi" w:cstheme="minorHAnsi"/>
          <w:sz w:val="17"/>
          <w:szCs w:val="17"/>
        </w:rPr>
        <w:t>Federation</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Accounting</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Committee</w:t>
      </w:r>
      <w:proofErr w:type="spellEnd"/>
      <w:r w:rsidRPr="001045B7">
        <w:rPr>
          <w:rFonts w:asciiTheme="minorHAnsi" w:hAnsiTheme="minorHAnsi" w:cstheme="minorHAnsi"/>
          <w:sz w:val="17"/>
          <w:szCs w:val="17"/>
        </w:rPr>
        <w:t>);</w:t>
      </w:r>
    </w:p>
    <w:p w14:paraId="449ADDB5" w14:textId="45A4C5A5" w:rsidR="009310F5" w:rsidRPr="001045B7" w:rsidRDefault="009310F5"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w:t>
      </w:r>
      <w:r w:rsidRPr="001045B7">
        <w:rPr>
          <w:rFonts w:asciiTheme="minorHAnsi" w:hAnsiTheme="minorHAnsi" w:cstheme="minorHAnsi"/>
          <w:sz w:val="17"/>
          <w:szCs w:val="17"/>
        </w:rPr>
        <w:tab/>
        <w:t>Las Normas de Información Financiera del Consejo Mexicano para la Investigación y Desarrollo de Normas de Información Financiera (</w:t>
      </w:r>
      <w:proofErr w:type="spellStart"/>
      <w:r w:rsidRPr="001045B7">
        <w:rPr>
          <w:rFonts w:asciiTheme="minorHAnsi" w:hAnsiTheme="minorHAnsi" w:cstheme="minorHAnsi"/>
          <w:sz w:val="17"/>
          <w:szCs w:val="17"/>
        </w:rPr>
        <w:t>CINIF</w:t>
      </w:r>
      <w:proofErr w:type="spellEnd"/>
      <w:r w:rsidRPr="001045B7">
        <w:rPr>
          <w:rFonts w:asciiTheme="minorHAnsi" w:hAnsiTheme="minorHAnsi" w:cstheme="minorHAnsi"/>
          <w:sz w:val="17"/>
          <w:szCs w:val="17"/>
        </w:rPr>
        <w:t>).</w:t>
      </w:r>
    </w:p>
    <w:p w14:paraId="5D3F13C5" w14:textId="77777777" w:rsidR="009310F5" w:rsidRPr="001045B7" w:rsidRDefault="009310F5" w:rsidP="00860054">
      <w:pPr>
        <w:spacing w:line="276" w:lineRule="auto"/>
        <w:jc w:val="both"/>
        <w:rPr>
          <w:rFonts w:asciiTheme="minorHAnsi" w:hAnsiTheme="minorHAnsi" w:cstheme="minorHAnsi"/>
          <w:sz w:val="17"/>
          <w:szCs w:val="17"/>
        </w:rPr>
      </w:pPr>
    </w:p>
    <w:p w14:paraId="4973589A" w14:textId="77777777" w:rsidR="00E54130" w:rsidRPr="001045B7" w:rsidRDefault="00E54130"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Políticas de Contabilidad Significativas</w:t>
      </w:r>
    </w:p>
    <w:p w14:paraId="691ADD64" w14:textId="77777777" w:rsidR="00E54130" w:rsidRPr="001045B7" w:rsidRDefault="00E54130" w:rsidP="00860054">
      <w:pPr>
        <w:spacing w:line="276" w:lineRule="auto"/>
        <w:jc w:val="both"/>
        <w:rPr>
          <w:rFonts w:asciiTheme="minorHAnsi" w:hAnsiTheme="minorHAnsi" w:cstheme="minorHAnsi"/>
          <w:sz w:val="17"/>
          <w:szCs w:val="17"/>
        </w:rPr>
      </w:pPr>
    </w:p>
    <w:p w14:paraId="46AC302D" w14:textId="77777777"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cuanto a las políticas contables, se comenta lo siguiente:</w:t>
      </w:r>
    </w:p>
    <w:p w14:paraId="56C108EF" w14:textId="77777777" w:rsidR="00E54130" w:rsidRPr="001045B7" w:rsidRDefault="00E54130" w:rsidP="00860054">
      <w:pPr>
        <w:spacing w:line="276" w:lineRule="auto"/>
        <w:jc w:val="both"/>
        <w:rPr>
          <w:rFonts w:asciiTheme="minorHAnsi" w:hAnsiTheme="minorHAnsi" w:cstheme="minorHAnsi"/>
          <w:sz w:val="17"/>
          <w:szCs w:val="17"/>
        </w:rPr>
      </w:pPr>
    </w:p>
    <w:p w14:paraId="4680A9D1" w14:textId="0ED0FDCB"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Atendiendo a lo estipulado en las “Reglas Específicas de Registro y Valoración del Patrimonio”, que refiere a que el Índice Nacional de Precios al Consumidor acumulado durante un periodo de tres años sea igual o superior al 100%, a la fecha de la emisión del Informe, no ha excedido del tal porcentaje, por lo cual no se ha realizado actualización alguna en ningún rubro del Activo, Pasivo y Hacienda Pública.</w:t>
      </w:r>
    </w:p>
    <w:p w14:paraId="02A5089A" w14:textId="77777777" w:rsidR="00607D6D" w:rsidRPr="001045B7" w:rsidRDefault="00607D6D" w:rsidP="00860054">
      <w:pPr>
        <w:spacing w:line="276" w:lineRule="auto"/>
        <w:jc w:val="both"/>
        <w:rPr>
          <w:rFonts w:asciiTheme="minorHAnsi" w:hAnsiTheme="minorHAnsi" w:cstheme="minorHAnsi"/>
          <w:sz w:val="17"/>
          <w:szCs w:val="17"/>
        </w:rPr>
      </w:pPr>
    </w:p>
    <w:p w14:paraId="50FF8D78" w14:textId="77777777"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Asimismo, el Poder Ejecutivo del Estado de Querétaro, no ha efectuado operaciones en el extranjero y no ha tenido efecto alguno en la información financiera gubernamental.</w:t>
      </w:r>
    </w:p>
    <w:p w14:paraId="76E30690" w14:textId="77777777" w:rsidR="00E54130" w:rsidRPr="001045B7" w:rsidRDefault="00E54130" w:rsidP="00860054">
      <w:pPr>
        <w:spacing w:line="276" w:lineRule="auto"/>
        <w:jc w:val="both"/>
        <w:rPr>
          <w:rFonts w:asciiTheme="minorHAnsi" w:hAnsiTheme="minorHAnsi" w:cstheme="minorHAnsi"/>
          <w:sz w:val="17"/>
          <w:szCs w:val="17"/>
        </w:rPr>
      </w:pPr>
    </w:p>
    <w:p w14:paraId="7E7FB792" w14:textId="77777777"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De la misma manera no existen acciones de compañías subsidiarias no consolidadas y asociadas. No se tiene una actividad comercial, por lo que no existe sistema y método de valuación de inventarios y costo de lo vendido.</w:t>
      </w:r>
    </w:p>
    <w:p w14:paraId="36716E4A" w14:textId="54263FDB" w:rsidR="001B3CC1" w:rsidRPr="001045B7" w:rsidRDefault="001B3CC1" w:rsidP="00860054">
      <w:pPr>
        <w:spacing w:line="276" w:lineRule="auto"/>
        <w:jc w:val="both"/>
        <w:rPr>
          <w:rFonts w:asciiTheme="minorHAnsi" w:hAnsiTheme="minorHAnsi" w:cstheme="minorHAnsi"/>
          <w:sz w:val="17"/>
          <w:szCs w:val="17"/>
        </w:rPr>
      </w:pPr>
    </w:p>
    <w:p w14:paraId="2E32B456" w14:textId="7EF194EC"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Se utilizarán cuentas específicas de resultados de ejercicios anteriores que correspondan a </w:t>
      </w:r>
      <w:r w:rsidR="0025754A" w:rsidRPr="001045B7">
        <w:rPr>
          <w:rFonts w:asciiTheme="minorHAnsi" w:hAnsiTheme="minorHAnsi" w:cstheme="minorHAnsi"/>
          <w:sz w:val="17"/>
          <w:szCs w:val="17"/>
        </w:rPr>
        <w:t>seis</w:t>
      </w:r>
      <w:r w:rsidRPr="001045B7">
        <w:rPr>
          <w:rFonts w:asciiTheme="minorHAnsi" w:hAnsiTheme="minorHAnsi" w:cstheme="minorHAnsi"/>
          <w:sz w:val="17"/>
          <w:szCs w:val="17"/>
        </w:rPr>
        <w:t xml:space="preserve"> ejercicios fiscales anteriores al ejercicio fiscal en curso.</w:t>
      </w:r>
    </w:p>
    <w:p w14:paraId="6A3D1EAE" w14:textId="77777777" w:rsidR="00E54130" w:rsidRPr="001045B7" w:rsidRDefault="00E54130" w:rsidP="00860054">
      <w:pPr>
        <w:spacing w:line="276" w:lineRule="auto"/>
        <w:jc w:val="both"/>
        <w:rPr>
          <w:rFonts w:asciiTheme="minorHAnsi" w:hAnsiTheme="minorHAnsi" w:cstheme="minorHAnsi"/>
          <w:sz w:val="17"/>
          <w:szCs w:val="17"/>
        </w:rPr>
      </w:pPr>
    </w:p>
    <w:p w14:paraId="79A8270A" w14:textId="2252E84A" w:rsidR="00F062AB"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cuanto a las políticas para el cálculo de la reserva actuarial, éstas se encuentran plasmadas en el estudio actuarial realizado al Poder Ejecutivo del Estado de Querétaro en cumplimiento al artículo 5 fracción V de la Ley de Disciplina Financiera de las Entidades Federativas y los Municip</w:t>
      </w:r>
      <w:r w:rsidR="00A5042F" w:rsidRPr="001045B7">
        <w:rPr>
          <w:rFonts w:asciiTheme="minorHAnsi" w:hAnsiTheme="minorHAnsi" w:cstheme="minorHAnsi"/>
          <w:sz w:val="17"/>
          <w:szCs w:val="17"/>
        </w:rPr>
        <w:t xml:space="preserve">ios, y que forma parte integral </w:t>
      </w:r>
      <w:r w:rsidR="00607D6D" w:rsidRPr="001045B7">
        <w:rPr>
          <w:rFonts w:asciiTheme="minorHAnsi" w:hAnsiTheme="minorHAnsi" w:cstheme="minorHAnsi"/>
          <w:sz w:val="17"/>
          <w:szCs w:val="17"/>
        </w:rPr>
        <w:t>del Decreto</w:t>
      </w:r>
      <w:r w:rsidRPr="001045B7">
        <w:rPr>
          <w:rFonts w:asciiTheme="minorHAnsi" w:hAnsiTheme="minorHAnsi" w:cstheme="minorHAnsi"/>
          <w:sz w:val="17"/>
          <w:szCs w:val="17"/>
        </w:rPr>
        <w:t xml:space="preserve"> de Presupuesto de Egresos:</w:t>
      </w:r>
    </w:p>
    <w:p w14:paraId="61A62850" w14:textId="77777777" w:rsidR="00DD1DA3" w:rsidRPr="001045B7" w:rsidRDefault="00DD1DA3" w:rsidP="00860054">
      <w:pPr>
        <w:spacing w:line="276" w:lineRule="auto"/>
        <w:jc w:val="both"/>
        <w:rPr>
          <w:rFonts w:asciiTheme="minorHAnsi" w:hAnsiTheme="minorHAnsi" w:cstheme="minorHAnsi"/>
          <w:sz w:val="17"/>
          <w:szCs w:val="17"/>
        </w:rPr>
      </w:pPr>
    </w:p>
    <w:p w14:paraId="178C5605" w14:textId="77777777" w:rsidR="00E54130" w:rsidRPr="001045B7" w:rsidRDefault="00E54130" w:rsidP="001556DC">
      <w:pPr>
        <w:tabs>
          <w:tab w:val="left" w:pos="8505"/>
        </w:tabs>
        <w:spacing w:before="80" w:line="276" w:lineRule="auto"/>
        <w:ind w:left="567"/>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Informe sobre Estudios Actuariales – </w:t>
      </w:r>
      <w:proofErr w:type="spellStart"/>
      <w:r w:rsidRPr="001045B7">
        <w:rPr>
          <w:rFonts w:asciiTheme="minorHAnsi" w:eastAsia="Calibri" w:hAnsiTheme="minorHAnsi" w:cstheme="minorHAnsi"/>
          <w:b/>
          <w:spacing w:val="-1"/>
          <w:sz w:val="17"/>
          <w:szCs w:val="17"/>
        </w:rPr>
        <w:t>LDF</w:t>
      </w:r>
      <w:proofErr w:type="spellEnd"/>
    </w:p>
    <w:p w14:paraId="7DCCC418" w14:textId="77777777" w:rsidR="00E54130" w:rsidRPr="001045B7" w:rsidRDefault="00E54130" w:rsidP="00860054">
      <w:pPr>
        <w:spacing w:before="80" w:line="276" w:lineRule="auto"/>
        <w:jc w:val="both"/>
        <w:rPr>
          <w:rFonts w:asciiTheme="minorHAnsi" w:eastAsia="Calibri" w:hAnsiTheme="minorHAnsi" w:cstheme="minorHAnsi"/>
          <w:b/>
          <w:spacing w:val="-1"/>
          <w:sz w:val="17"/>
          <w:szCs w:val="17"/>
        </w:rPr>
      </w:pPr>
    </w:p>
    <w:tbl>
      <w:tblPr>
        <w:tblStyle w:val="TableNormal"/>
        <w:tblW w:w="10943" w:type="dxa"/>
        <w:jc w:val="center"/>
        <w:tblLayout w:type="fixed"/>
        <w:tblLook w:val="01E0" w:firstRow="1" w:lastRow="1" w:firstColumn="1" w:lastColumn="1" w:noHBand="0" w:noVBand="0"/>
      </w:tblPr>
      <w:tblGrid>
        <w:gridCol w:w="3997"/>
        <w:gridCol w:w="1559"/>
        <w:gridCol w:w="1139"/>
        <w:gridCol w:w="1276"/>
        <w:gridCol w:w="1559"/>
        <w:gridCol w:w="1413"/>
      </w:tblGrid>
      <w:tr w:rsidR="00D76066" w:rsidRPr="001045B7" w14:paraId="34276FC9" w14:textId="77777777" w:rsidTr="00522798">
        <w:trPr>
          <w:trHeight w:val="276"/>
          <w:jc w:val="center"/>
        </w:trPr>
        <w:tc>
          <w:tcPr>
            <w:tcW w:w="3997" w:type="dxa"/>
            <w:tcBorders>
              <w:top w:val="single" w:sz="4" w:space="0" w:color="auto"/>
              <w:left w:val="single" w:sz="4" w:space="0" w:color="auto"/>
            </w:tcBorders>
            <w:shd w:val="clear" w:color="auto" w:fill="333333"/>
          </w:tcPr>
          <w:p w14:paraId="338BDB75"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top w:val="single" w:sz="4" w:space="0" w:color="auto"/>
            </w:tcBorders>
            <w:shd w:val="clear" w:color="auto" w:fill="333333"/>
          </w:tcPr>
          <w:p w14:paraId="176EF265" w14:textId="77777777" w:rsidR="00D76066" w:rsidRPr="001045B7" w:rsidRDefault="00D76066" w:rsidP="00860054">
            <w:pPr>
              <w:pStyle w:val="TableParagraph"/>
              <w:spacing w:before="84" w:line="276" w:lineRule="auto"/>
              <w:ind w:right="36"/>
              <w:rPr>
                <w:rFonts w:asciiTheme="minorHAnsi" w:hAnsiTheme="minorHAnsi" w:cstheme="minorHAnsi"/>
                <w:sz w:val="13"/>
                <w:szCs w:val="15"/>
              </w:rPr>
            </w:pPr>
            <w:r w:rsidRPr="001045B7">
              <w:rPr>
                <w:rFonts w:asciiTheme="minorHAnsi" w:hAnsiTheme="minorHAnsi" w:cstheme="minorHAnsi"/>
                <w:color w:val="FFFFFF"/>
                <w:w w:val="105"/>
                <w:sz w:val="13"/>
                <w:szCs w:val="15"/>
              </w:rPr>
              <w:t>Pensiones</w:t>
            </w:r>
            <w:r w:rsidRPr="001045B7">
              <w:rPr>
                <w:rFonts w:asciiTheme="minorHAnsi" w:hAnsiTheme="minorHAnsi" w:cstheme="minorHAnsi"/>
                <w:color w:val="FFFFFF"/>
                <w:spacing w:val="13"/>
                <w:w w:val="105"/>
                <w:sz w:val="13"/>
                <w:szCs w:val="15"/>
              </w:rPr>
              <w:t xml:space="preserve"> </w:t>
            </w:r>
            <w:r w:rsidRPr="001045B7">
              <w:rPr>
                <w:rFonts w:asciiTheme="minorHAnsi" w:hAnsiTheme="minorHAnsi" w:cstheme="minorHAnsi"/>
                <w:color w:val="FFFFFF"/>
                <w:w w:val="105"/>
                <w:sz w:val="13"/>
                <w:szCs w:val="15"/>
              </w:rPr>
              <w:t>y</w:t>
            </w:r>
            <w:r w:rsidRPr="001045B7">
              <w:rPr>
                <w:rFonts w:asciiTheme="minorHAnsi" w:hAnsiTheme="minorHAnsi" w:cstheme="minorHAnsi"/>
                <w:color w:val="FFFFFF"/>
                <w:spacing w:val="14"/>
                <w:w w:val="105"/>
                <w:sz w:val="13"/>
                <w:szCs w:val="15"/>
              </w:rPr>
              <w:t xml:space="preserve"> </w:t>
            </w:r>
            <w:r w:rsidRPr="001045B7">
              <w:rPr>
                <w:rFonts w:asciiTheme="minorHAnsi" w:hAnsiTheme="minorHAnsi" w:cstheme="minorHAnsi"/>
                <w:color w:val="FFFFFF"/>
                <w:w w:val="105"/>
                <w:sz w:val="13"/>
                <w:szCs w:val="15"/>
              </w:rPr>
              <w:t>jubilaciones</w:t>
            </w:r>
          </w:p>
        </w:tc>
        <w:tc>
          <w:tcPr>
            <w:tcW w:w="1139" w:type="dxa"/>
            <w:tcBorders>
              <w:top w:val="single" w:sz="4" w:space="0" w:color="auto"/>
            </w:tcBorders>
            <w:shd w:val="clear" w:color="auto" w:fill="333333"/>
          </w:tcPr>
          <w:p w14:paraId="1655CCD5" w14:textId="77777777" w:rsidR="00D76066" w:rsidRPr="001045B7" w:rsidRDefault="00D76066" w:rsidP="00860054">
            <w:pPr>
              <w:pStyle w:val="TableParagraph"/>
              <w:spacing w:before="84" w:line="276" w:lineRule="auto"/>
              <w:ind w:left="352" w:right="348"/>
              <w:jc w:val="center"/>
              <w:rPr>
                <w:rFonts w:asciiTheme="minorHAnsi" w:hAnsiTheme="minorHAnsi" w:cstheme="minorHAnsi"/>
                <w:sz w:val="13"/>
                <w:szCs w:val="15"/>
              </w:rPr>
            </w:pPr>
            <w:r w:rsidRPr="001045B7">
              <w:rPr>
                <w:rFonts w:asciiTheme="minorHAnsi" w:hAnsiTheme="minorHAnsi" w:cstheme="minorHAnsi"/>
                <w:color w:val="FFFFFF"/>
                <w:w w:val="105"/>
                <w:sz w:val="13"/>
                <w:szCs w:val="15"/>
              </w:rPr>
              <w:t>Salud</w:t>
            </w:r>
          </w:p>
        </w:tc>
        <w:tc>
          <w:tcPr>
            <w:tcW w:w="1276" w:type="dxa"/>
            <w:tcBorders>
              <w:top w:val="single" w:sz="4" w:space="0" w:color="auto"/>
            </w:tcBorders>
            <w:shd w:val="clear" w:color="auto" w:fill="333333"/>
          </w:tcPr>
          <w:p w14:paraId="749FCD6F" w14:textId="77777777" w:rsidR="00D76066" w:rsidRPr="001045B7" w:rsidRDefault="00D76066" w:rsidP="00860054">
            <w:pPr>
              <w:pStyle w:val="TableParagraph"/>
              <w:spacing w:before="84" w:line="276" w:lineRule="auto"/>
              <w:ind w:left="170"/>
              <w:rPr>
                <w:rFonts w:asciiTheme="minorHAnsi" w:hAnsiTheme="minorHAnsi" w:cstheme="minorHAnsi"/>
                <w:sz w:val="13"/>
                <w:szCs w:val="15"/>
              </w:rPr>
            </w:pPr>
            <w:r w:rsidRPr="001045B7">
              <w:rPr>
                <w:rFonts w:asciiTheme="minorHAnsi" w:hAnsiTheme="minorHAnsi" w:cstheme="minorHAnsi"/>
                <w:color w:val="FFFFFF"/>
                <w:w w:val="105"/>
                <w:sz w:val="13"/>
                <w:szCs w:val="15"/>
              </w:rPr>
              <w:t>Riesgos</w:t>
            </w:r>
            <w:r w:rsidRPr="001045B7">
              <w:rPr>
                <w:rFonts w:asciiTheme="minorHAnsi" w:hAnsiTheme="minorHAnsi" w:cstheme="minorHAnsi"/>
                <w:color w:val="FFFFFF"/>
                <w:spacing w:val="11"/>
                <w:w w:val="105"/>
                <w:sz w:val="13"/>
                <w:szCs w:val="15"/>
              </w:rPr>
              <w:t xml:space="preserve"> </w:t>
            </w:r>
            <w:r w:rsidRPr="001045B7">
              <w:rPr>
                <w:rFonts w:asciiTheme="minorHAnsi" w:hAnsiTheme="minorHAnsi" w:cstheme="minorHAnsi"/>
                <w:color w:val="FFFFFF"/>
                <w:w w:val="105"/>
                <w:sz w:val="13"/>
                <w:szCs w:val="15"/>
              </w:rPr>
              <w:t>de</w:t>
            </w:r>
            <w:r w:rsidRPr="001045B7">
              <w:rPr>
                <w:rFonts w:asciiTheme="minorHAnsi" w:hAnsiTheme="minorHAnsi" w:cstheme="minorHAnsi"/>
                <w:color w:val="FFFFFF"/>
                <w:spacing w:val="9"/>
                <w:w w:val="105"/>
                <w:sz w:val="13"/>
                <w:szCs w:val="15"/>
              </w:rPr>
              <w:t xml:space="preserve"> </w:t>
            </w:r>
            <w:r w:rsidRPr="001045B7">
              <w:rPr>
                <w:rFonts w:asciiTheme="minorHAnsi" w:hAnsiTheme="minorHAnsi" w:cstheme="minorHAnsi"/>
                <w:color w:val="FFFFFF"/>
                <w:w w:val="105"/>
                <w:sz w:val="13"/>
                <w:szCs w:val="15"/>
              </w:rPr>
              <w:t>trabajo</w:t>
            </w:r>
          </w:p>
        </w:tc>
        <w:tc>
          <w:tcPr>
            <w:tcW w:w="1559" w:type="dxa"/>
            <w:tcBorders>
              <w:top w:val="single" w:sz="4" w:space="0" w:color="auto"/>
            </w:tcBorders>
            <w:shd w:val="clear" w:color="auto" w:fill="333333"/>
          </w:tcPr>
          <w:p w14:paraId="31991529" w14:textId="77777777" w:rsidR="00D76066" w:rsidRPr="001045B7" w:rsidRDefault="00D76066" w:rsidP="00860054">
            <w:pPr>
              <w:pStyle w:val="TableParagraph"/>
              <w:spacing w:before="84" w:line="276" w:lineRule="auto"/>
              <w:ind w:left="318"/>
              <w:rPr>
                <w:rFonts w:asciiTheme="minorHAnsi" w:hAnsiTheme="minorHAnsi" w:cstheme="minorHAnsi"/>
                <w:sz w:val="13"/>
                <w:szCs w:val="15"/>
              </w:rPr>
            </w:pPr>
            <w:r w:rsidRPr="001045B7">
              <w:rPr>
                <w:rFonts w:asciiTheme="minorHAnsi" w:hAnsiTheme="minorHAnsi" w:cstheme="minorHAnsi"/>
                <w:color w:val="FFFFFF"/>
                <w:w w:val="105"/>
                <w:sz w:val="13"/>
                <w:szCs w:val="15"/>
              </w:rPr>
              <w:t>Invalidez</w:t>
            </w:r>
            <w:r w:rsidRPr="001045B7">
              <w:rPr>
                <w:rFonts w:asciiTheme="minorHAnsi" w:hAnsiTheme="minorHAnsi" w:cstheme="minorHAnsi"/>
                <w:color w:val="FFFFFF"/>
                <w:spacing w:val="10"/>
                <w:w w:val="105"/>
                <w:sz w:val="13"/>
                <w:szCs w:val="15"/>
              </w:rPr>
              <w:t xml:space="preserve"> </w:t>
            </w:r>
            <w:r w:rsidRPr="001045B7">
              <w:rPr>
                <w:rFonts w:asciiTheme="minorHAnsi" w:hAnsiTheme="minorHAnsi" w:cstheme="minorHAnsi"/>
                <w:color w:val="FFFFFF"/>
                <w:w w:val="105"/>
                <w:sz w:val="13"/>
                <w:szCs w:val="15"/>
              </w:rPr>
              <w:t>y</w:t>
            </w:r>
            <w:r w:rsidRPr="001045B7">
              <w:rPr>
                <w:rFonts w:asciiTheme="minorHAnsi" w:hAnsiTheme="minorHAnsi" w:cstheme="minorHAnsi"/>
                <w:color w:val="FFFFFF"/>
                <w:spacing w:val="11"/>
                <w:w w:val="105"/>
                <w:sz w:val="13"/>
                <w:szCs w:val="15"/>
              </w:rPr>
              <w:t xml:space="preserve"> </w:t>
            </w:r>
            <w:r w:rsidRPr="001045B7">
              <w:rPr>
                <w:rFonts w:asciiTheme="minorHAnsi" w:hAnsiTheme="minorHAnsi" w:cstheme="minorHAnsi"/>
                <w:color w:val="FFFFFF"/>
                <w:w w:val="105"/>
                <w:sz w:val="13"/>
                <w:szCs w:val="15"/>
              </w:rPr>
              <w:t>vida</w:t>
            </w:r>
          </w:p>
        </w:tc>
        <w:tc>
          <w:tcPr>
            <w:tcW w:w="1413" w:type="dxa"/>
            <w:tcBorders>
              <w:top w:val="single" w:sz="4" w:space="0" w:color="auto"/>
            </w:tcBorders>
            <w:shd w:val="clear" w:color="auto" w:fill="333333"/>
          </w:tcPr>
          <w:p w14:paraId="58CD86DB" w14:textId="77777777" w:rsidR="00D76066" w:rsidRPr="001045B7" w:rsidRDefault="00D76066" w:rsidP="00860054">
            <w:pPr>
              <w:pStyle w:val="TableParagraph"/>
              <w:spacing w:line="276" w:lineRule="auto"/>
              <w:ind w:left="450" w:hanging="263"/>
              <w:rPr>
                <w:rFonts w:asciiTheme="minorHAnsi" w:hAnsiTheme="minorHAnsi" w:cstheme="minorHAnsi"/>
                <w:sz w:val="13"/>
                <w:szCs w:val="15"/>
              </w:rPr>
            </w:pPr>
            <w:r w:rsidRPr="001045B7">
              <w:rPr>
                <w:rFonts w:asciiTheme="minorHAnsi" w:hAnsiTheme="minorHAnsi" w:cstheme="minorHAnsi"/>
                <w:color w:val="FFFFFF"/>
                <w:w w:val="105"/>
                <w:sz w:val="13"/>
                <w:szCs w:val="15"/>
              </w:rPr>
              <w:t>Otras</w:t>
            </w:r>
            <w:r w:rsidRPr="001045B7">
              <w:rPr>
                <w:rFonts w:asciiTheme="minorHAnsi" w:hAnsiTheme="minorHAnsi" w:cstheme="minorHAnsi"/>
                <w:color w:val="FFFFFF"/>
                <w:spacing w:val="1"/>
                <w:w w:val="105"/>
                <w:sz w:val="13"/>
                <w:szCs w:val="15"/>
              </w:rPr>
              <w:t xml:space="preserve"> </w:t>
            </w:r>
            <w:r w:rsidRPr="001045B7">
              <w:rPr>
                <w:rFonts w:asciiTheme="minorHAnsi" w:hAnsiTheme="minorHAnsi" w:cstheme="minorHAnsi"/>
                <w:color w:val="FFFFFF"/>
                <w:w w:val="105"/>
                <w:sz w:val="13"/>
                <w:szCs w:val="15"/>
              </w:rPr>
              <w:t>prestaciones</w:t>
            </w:r>
            <w:r w:rsidRPr="001045B7">
              <w:rPr>
                <w:rFonts w:asciiTheme="minorHAnsi" w:hAnsiTheme="minorHAnsi" w:cstheme="minorHAnsi"/>
                <w:color w:val="FFFFFF"/>
                <w:spacing w:val="-27"/>
                <w:w w:val="105"/>
                <w:sz w:val="13"/>
                <w:szCs w:val="15"/>
              </w:rPr>
              <w:t xml:space="preserve"> </w:t>
            </w:r>
            <w:r w:rsidRPr="001045B7">
              <w:rPr>
                <w:rFonts w:asciiTheme="minorHAnsi" w:hAnsiTheme="minorHAnsi" w:cstheme="minorHAnsi"/>
                <w:color w:val="FFFFFF"/>
                <w:w w:val="105"/>
                <w:sz w:val="13"/>
                <w:szCs w:val="15"/>
              </w:rPr>
              <w:t>sociales</w:t>
            </w:r>
          </w:p>
        </w:tc>
      </w:tr>
      <w:tr w:rsidR="00D76066" w:rsidRPr="001045B7" w14:paraId="0BFB87E9" w14:textId="77777777" w:rsidTr="00522798">
        <w:trPr>
          <w:trHeight w:val="273"/>
          <w:jc w:val="center"/>
        </w:trPr>
        <w:tc>
          <w:tcPr>
            <w:tcW w:w="3997" w:type="dxa"/>
            <w:tcBorders>
              <w:left w:val="single" w:sz="4" w:space="0" w:color="auto"/>
              <w:right w:val="single" w:sz="4" w:space="0" w:color="959595"/>
            </w:tcBorders>
          </w:tcPr>
          <w:p w14:paraId="67F836F4" w14:textId="77777777" w:rsidR="00D76066" w:rsidRPr="001045B7" w:rsidRDefault="00D76066" w:rsidP="00860054">
            <w:pPr>
              <w:pStyle w:val="TableParagraph"/>
              <w:spacing w:before="12"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Tipo</w:t>
            </w:r>
            <w:r w:rsidRPr="001045B7">
              <w:rPr>
                <w:rFonts w:asciiTheme="minorHAnsi" w:hAnsiTheme="minorHAnsi" w:cstheme="minorHAnsi"/>
                <w:b/>
                <w:bCs/>
                <w:spacing w:val="7"/>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6"/>
                <w:w w:val="105"/>
                <w:sz w:val="13"/>
                <w:szCs w:val="15"/>
              </w:rPr>
              <w:t xml:space="preserve"> </w:t>
            </w:r>
            <w:r w:rsidRPr="001045B7">
              <w:rPr>
                <w:rFonts w:asciiTheme="minorHAnsi" w:hAnsiTheme="minorHAnsi" w:cstheme="minorHAnsi"/>
                <w:b/>
                <w:bCs/>
                <w:w w:val="105"/>
                <w:sz w:val="13"/>
                <w:szCs w:val="15"/>
              </w:rPr>
              <w:t>Sistema</w:t>
            </w:r>
          </w:p>
          <w:p w14:paraId="38610CAD" w14:textId="77777777" w:rsidR="00D76066" w:rsidRPr="001045B7" w:rsidRDefault="00D76066" w:rsidP="00860054">
            <w:pPr>
              <w:pStyle w:val="TableParagraph"/>
              <w:spacing w:before="21"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Prestación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laboral</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Fondo general</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para trabajadores</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del</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estado o municipio</w:t>
            </w:r>
          </w:p>
        </w:tc>
        <w:tc>
          <w:tcPr>
            <w:tcW w:w="1559" w:type="dxa"/>
            <w:tcBorders>
              <w:left w:val="single" w:sz="4" w:space="0" w:color="959595"/>
              <w:right w:val="single" w:sz="4" w:space="0" w:color="959595"/>
            </w:tcBorders>
          </w:tcPr>
          <w:p w14:paraId="7E30211C" w14:textId="77777777" w:rsidR="00D76066" w:rsidRPr="001045B7" w:rsidRDefault="00D76066" w:rsidP="00860054">
            <w:pPr>
              <w:pStyle w:val="TableParagraph"/>
              <w:spacing w:before="10" w:line="276" w:lineRule="auto"/>
              <w:rPr>
                <w:rFonts w:asciiTheme="minorHAnsi" w:hAnsiTheme="minorHAnsi" w:cstheme="minorHAnsi"/>
                <w:sz w:val="13"/>
                <w:szCs w:val="15"/>
              </w:rPr>
            </w:pPr>
          </w:p>
          <w:p w14:paraId="17732E54" w14:textId="77777777" w:rsidR="00D76066" w:rsidRPr="001045B7" w:rsidRDefault="00D76066" w:rsidP="00860054">
            <w:pPr>
              <w:pStyle w:val="TableParagraph"/>
              <w:spacing w:line="276" w:lineRule="auto"/>
              <w:ind w:left="210"/>
              <w:rPr>
                <w:rFonts w:asciiTheme="minorHAnsi" w:hAnsiTheme="minorHAnsi" w:cstheme="minorHAnsi"/>
                <w:sz w:val="13"/>
                <w:szCs w:val="15"/>
              </w:rPr>
            </w:pPr>
            <w:r w:rsidRPr="001045B7">
              <w:rPr>
                <w:rFonts w:asciiTheme="minorHAnsi" w:hAnsiTheme="minorHAnsi" w:cstheme="minorHAnsi"/>
                <w:w w:val="105"/>
                <w:sz w:val="13"/>
                <w:szCs w:val="15"/>
              </w:rPr>
              <w:t>Prestación</w:t>
            </w:r>
            <w:r w:rsidRPr="001045B7">
              <w:rPr>
                <w:rFonts w:asciiTheme="minorHAnsi" w:hAnsiTheme="minorHAnsi" w:cstheme="minorHAnsi"/>
                <w:spacing w:val="-5"/>
                <w:w w:val="105"/>
                <w:sz w:val="13"/>
                <w:szCs w:val="15"/>
              </w:rPr>
              <w:t xml:space="preserve"> </w:t>
            </w:r>
            <w:r w:rsidRPr="001045B7">
              <w:rPr>
                <w:rFonts w:asciiTheme="minorHAnsi" w:hAnsiTheme="minorHAnsi" w:cstheme="minorHAnsi"/>
                <w:w w:val="105"/>
                <w:sz w:val="13"/>
                <w:szCs w:val="15"/>
              </w:rPr>
              <w:t>Laboral</w:t>
            </w:r>
          </w:p>
        </w:tc>
        <w:tc>
          <w:tcPr>
            <w:tcW w:w="1139" w:type="dxa"/>
            <w:vMerge w:val="restart"/>
            <w:tcBorders>
              <w:left w:val="single" w:sz="4" w:space="0" w:color="959595"/>
              <w:right w:val="single" w:sz="4" w:space="0" w:color="959595"/>
            </w:tcBorders>
          </w:tcPr>
          <w:p w14:paraId="38C5096F"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7A07B4A6" w14:textId="77777777" w:rsidR="00D76066" w:rsidRPr="001045B7" w:rsidRDefault="00D76066" w:rsidP="00860054">
            <w:pPr>
              <w:pStyle w:val="TableParagraph"/>
              <w:spacing w:before="10" w:line="276" w:lineRule="auto"/>
              <w:rPr>
                <w:rFonts w:asciiTheme="minorHAnsi" w:hAnsiTheme="minorHAnsi" w:cstheme="minorHAnsi"/>
                <w:sz w:val="13"/>
                <w:szCs w:val="15"/>
              </w:rPr>
            </w:pPr>
          </w:p>
          <w:p w14:paraId="14AA2F88" w14:textId="4164A260" w:rsidR="00D76066" w:rsidRPr="001045B7" w:rsidRDefault="00D76066" w:rsidP="00860054">
            <w:pPr>
              <w:pStyle w:val="TableParagraph"/>
              <w:spacing w:line="276" w:lineRule="auto"/>
              <w:ind w:left="199"/>
              <w:rPr>
                <w:rFonts w:asciiTheme="minorHAnsi" w:hAnsiTheme="minorHAnsi" w:cstheme="minorHAnsi"/>
                <w:sz w:val="13"/>
                <w:szCs w:val="15"/>
              </w:rPr>
            </w:pPr>
          </w:p>
        </w:tc>
        <w:tc>
          <w:tcPr>
            <w:tcW w:w="1559" w:type="dxa"/>
            <w:tcBorders>
              <w:left w:val="single" w:sz="4" w:space="0" w:color="959595"/>
              <w:right w:val="single" w:sz="4" w:space="0" w:color="959595"/>
            </w:tcBorders>
          </w:tcPr>
          <w:p w14:paraId="5FEE252F" w14:textId="77777777" w:rsidR="00D76066" w:rsidRPr="001045B7" w:rsidRDefault="00D76066" w:rsidP="00860054">
            <w:pPr>
              <w:pStyle w:val="TableParagraph"/>
              <w:spacing w:before="10" w:line="276" w:lineRule="auto"/>
              <w:rPr>
                <w:rFonts w:asciiTheme="minorHAnsi" w:hAnsiTheme="minorHAnsi" w:cstheme="minorHAnsi"/>
                <w:sz w:val="13"/>
                <w:szCs w:val="15"/>
              </w:rPr>
            </w:pPr>
          </w:p>
          <w:p w14:paraId="4E155F6E" w14:textId="4CB60D33" w:rsidR="00D76066" w:rsidRPr="001045B7" w:rsidRDefault="00D76066" w:rsidP="00860054">
            <w:pPr>
              <w:pStyle w:val="TableParagraph"/>
              <w:spacing w:line="276" w:lineRule="auto"/>
              <w:ind w:left="267"/>
              <w:rPr>
                <w:rFonts w:asciiTheme="minorHAnsi" w:hAnsiTheme="minorHAnsi" w:cstheme="minorHAnsi"/>
                <w:sz w:val="13"/>
                <w:szCs w:val="15"/>
              </w:rPr>
            </w:pPr>
          </w:p>
        </w:tc>
        <w:tc>
          <w:tcPr>
            <w:tcW w:w="1413" w:type="dxa"/>
            <w:tcBorders>
              <w:left w:val="single" w:sz="4" w:space="0" w:color="959595"/>
              <w:right w:val="single" w:sz="4" w:space="0" w:color="959595"/>
            </w:tcBorders>
          </w:tcPr>
          <w:p w14:paraId="24FAD342" w14:textId="77777777" w:rsidR="00D76066" w:rsidRPr="001045B7" w:rsidRDefault="00D76066" w:rsidP="00860054">
            <w:pPr>
              <w:pStyle w:val="TableParagraph"/>
              <w:spacing w:before="10" w:line="276" w:lineRule="auto"/>
              <w:rPr>
                <w:rFonts w:asciiTheme="minorHAnsi" w:hAnsiTheme="minorHAnsi" w:cstheme="minorHAnsi"/>
                <w:sz w:val="13"/>
                <w:szCs w:val="15"/>
              </w:rPr>
            </w:pPr>
          </w:p>
          <w:p w14:paraId="45874BB7" w14:textId="2EC023F7" w:rsidR="00D76066" w:rsidRPr="001045B7" w:rsidRDefault="00D76066" w:rsidP="00860054">
            <w:pPr>
              <w:pStyle w:val="TableParagraph"/>
              <w:spacing w:line="276" w:lineRule="auto"/>
              <w:ind w:left="218"/>
              <w:rPr>
                <w:rFonts w:asciiTheme="minorHAnsi" w:hAnsiTheme="minorHAnsi" w:cstheme="minorHAnsi"/>
                <w:sz w:val="13"/>
                <w:szCs w:val="15"/>
              </w:rPr>
            </w:pPr>
          </w:p>
        </w:tc>
      </w:tr>
      <w:tr w:rsidR="00D76066" w:rsidRPr="001045B7" w14:paraId="48AF97B0" w14:textId="77777777" w:rsidTr="00522798">
        <w:trPr>
          <w:trHeight w:val="411"/>
          <w:jc w:val="center"/>
        </w:trPr>
        <w:tc>
          <w:tcPr>
            <w:tcW w:w="3997" w:type="dxa"/>
            <w:tcBorders>
              <w:left w:val="single" w:sz="4" w:space="0" w:color="auto"/>
              <w:right w:val="single" w:sz="4" w:space="0" w:color="959595"/>
            </w:tcBorders>
          </w:tcPr>
          <w:p w14:paraId="4B999F74" w14:textId="77777777" w:rsidR="00D76066" w:rsidRPr="001045B7" w:rsidRDefault="00D76066" w:rsidP="00860054">
            <w:pPr>
              <w:pStyle w:val="TableParagraph"/>
              <w:spacing w:before="11"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Beneficio</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definido,</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Contribución</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definida</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o</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Mixto</w:t>
            </w:r>
          </w:p>
          <w:p w14:paraId="5F870C9D" w14:textId="77777777" w:rsidR="00D76066" w:rsidRPr="001045B7" w:rsidRDefault="00D76066" w:rsidP="00860054">
            <w:pPr>
              <w:pStyle w:val="TableParagraph"/>
              <w:spacing w:before="9" w:line="276" w:lineRule="auto"/>
              <w:rPr>
                <w:rFonts w:asciiTheme="minorHAnsi" w:hAnsiTheme="minorHAnsi" w:cstheme="minorHAnsi"/>
                <w:sz w:val="13"/>
                <w:szCs w:val="15"/>
              </w:rPr>
            </w:pPr>
          </w:p>
          <w:p w14:paraId="5AFBDD51" w14:textId="77777777" w:rsidR="00D76066" w:rsidRPr="001045B7" w:rsidRDefault="00D76066" w:rsidP="00860054">
            <w:pPr>
              <w:pStyle w:val="TableParagraph"/>
              <w:spacing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Población</w:t>
            </w:r>
            <w:r w:rsidRPr="001045B7">
              <w:rPr>
                <w:rFonts w:asciiTheme="minorHAnsi" w:hAnsiTheme="minorHAnsi" w:cstheme="minorHAnsi"/>
                <w:b/>
                <w:bCs/>
                <w:spacing w:val="16"/>
                <w:w w:val="105"/>
                <w:sz w:val="13"/>
                <w:szCs w:val="15"/>
              </w:rPr>
              <w:t xml:space="preserve"> </w:t>
            </w:r>
            <w:r w:rsidRPr="001045B7">
              <w:rPr>
                <w:rFonts w:asciiTheme="minorHAnsi" w:hAnsiTheme="minorHAnsi" w:cstheme="minorHAnsi"/>
                <w:b/>
                <w:bCs/>
                <w:w w:val="105"/>
                <w:sz w:val="13"/>
                <w:szCs w:val="15"/>
              </w:rPr>
              <w:t>afiliada</w:t>
            </w:r>
          </w:p>
        </w:tc>
        <w:tc>
          <w:tcPr>
            <w:tcW w:w="1559" w:type="dxa"/>
            <w:tcBorders>
              <w:left w:val="single" w:sz="4" w:space="0" w:color="959595"/>
              <w:right w:val="single" w:sz="4" w:space="0" w:color="959595"/>
            </w:tcBorders>
          </w:tcPr>
          <w:p w14:paraId="0B66570D" w14:textId="77777777" w:rsidR="00D76066" w:rsidRPr="001045B7" w:rsidRDefault="00D76066" w:rsidP="00860054">
            <w:pPr>
              <w:pStyle w:val="TableParagraph"/>
              <w:spacing w:before="9" w:line="276" w:lineRule="auto"/>
              <w:ind w:left="213"/>
              <w:rPr>
                <w:rFonts w:asciiTheme="minorHAnsi" w:hAnsiTheme="minorHAnsi" w:cstheme="minorHAnsi"/>
                <w:sz w:val="13"/>
                <w:szCs w:val="15"/>
              </w:rPr>
            </w:pPr>
            <w:r w:rsidRPr="001045B7">
              <w:rPr>
                <w:rFonts w:asciiTheme="minorHAnsi" w:hAnsiTheme="minorHAnsi" w:cstheme="minorHAnsi"/>
                <w:w w:val="105"/>
                <w:sz w:val="13"/>
                <w:szCs w:val="15"/>
              </w:rPr>
              <w:t>Beneficio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Definido</w:t>
            </w:r>
          </w:p>
        </w:tc>
        <w:tc>
          <w:tcPr>
            <w:tcW w:w="1139" w:type="dxa"/>
            <w:vMerge/>
            <w:tcBorders>
              <w:top w:val="nil"/>
              <w:left w:val="single" w:sz="4" w:space="0" w:color="959595"/>
              <w:right w:val="single" w:sz="4" w:space="0" w:color="959595"/>
            </w:tcBorders>
          </w:tcPr>
          <w:p w14:paraId="7026536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95A93C7" w14:textId="4DF3C933" w:rsidR="00D76066" w:rsidRPr="001045B7" w:rsidRDefault="00D76066" w:rsidP="00860054">
            <w:pPr>
              <w:pStyle w:val="TableParagraph"/>
              <w:spacing w:before="9" w:line="276" w:lineRule="auto"/>
              <w:ind w:left="202"/>
              <w:rPr>
                <w:rFonts w:asciiTheme="minorHAnsi" w:hAnsiTheme="minorHAnsi" w:cstheme="minorHAnsi"/>
                <w:sz w:val="13"/>
                <w:szCs w:val="15"/>
              </w:rPr>
            </w:pPr>
          </w:p>
        </w:tc>
        <w:tc>
          <w:tcPr>
            <w:tcW w:w="1559" w:type="dxa"/>
            <w:tcBorders>
              <w:left w:val="single" w:sz="4" w:space="0" w:color="959595"/>
              <w:right w:val="single" w:sz="4" w:space="0" w:color="959595"/>
            </w:tcBorders>
          </w:tcPr>
          <w:p w14:paraId="72E3E86C" w14:textId="0C1CF51B" w:rsidR="00D76066" w:rsidRPr="001045B7" w:rsidRDefault="00D76066" w:rsidP="00860054">
            <w:pPr>
              <w:pStyle w:val="TableParagraph"/>
              <w:spacing w:before="9" w:line="276" w:lineRule="auto"/>
              <w:ind w:left="270"/>
              <w:rPr>
                <w:rFonts w:asciiTheme="minorHAnsi" w:hAnsiTheme="minorHAnsi" w:cstheme="minorHAnsi"/>
                <w:sz w:val="13"/>
                <w:szCs w:val="15"/>
              </w:rPr>
            </w:pPr>
          </w:p>
        </w:tc>
        <w:tc>
          <w:tcPr>
            <w:tcW w:w="1413" w:type="dxa"/>
            <w:tcBorders>
              <w:left w:val="single" w:sz="4" w:space="0" w:color="959595"/>
              <w:right w:val="single" w:sz="4" w:space="0" w:color="959595"/>
            </w:tcBorders>
          </w:tcPr>
          <w:p w14:paraId="2C585ABE" w14:textId="1C3082F7" w:rsidR="00D76066" w:rsidRPr="001045B7" w:rsidRDefault="00D76066" w:rsidP="00860054">
            <w:pPr>
              <w:pStyle w:val="TableParagraph"/>
              <w:spacing w:before="9" w:line="276" w:lineRule="auto"/>
              <w:ind w:left="221"/>
              <w:rPr>
                <w:rFonts w:asciiTheme="minorHAnsi" w:hAnsiTheme="minorHAnsi" w:cstheme="minorHAnsi"/>
                <w:sz w:val="13"/>
                <w:szCs w:val="15"/>
              </w:rPr>
            </w:pPr>
          </w:p>
        </w:tc>
      </w:tr>
      <w:tr w:rsidR="00D76066" w:rsidRPr="001045B7" w14:paraId="5AF96E6C" w14:textId="77777777" w:rsidTr="00522798">
        <w:trPr>
          <w:trHeight w:val="136"/>
          <w:jc w:val="center"/>
        </w:trPr>
        <w:tc>
          <w:tcPr>
            <w:tcW w:w="3997" w:type="dxa"/>
            <w:tcBorders>
              <w:left w:val="single" w:sz="4" w:space="0" w:color="auto"/>
              <w:right w:val="single" w:sz="4" w:space="0" w:color="959595"/>
            </w:tcBorders>
          </w:tcPr>
          <w:p w14:paraId="135B1322"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Activos</w:t>
            </w:r>
          </w:p>
        </w:tc>
        <w:tc>
          <w:tcPr>
            <w:tcW w:w="1559" w:type="dxa"/>
            <w:tcBorders>
              <w:left w:val="single" w:sz="4" w:space="0" w:color="959595"/>
              <w:right w:val="single" w:sz="4" w:space="0" w:color="959595"/>
            </w:tcBorders>
          </w:tcPr>
          <w:p w14:paraId="27F9AAD0" w14:textId="7F7A3F85" w:rsidR="00D76066" w:rsidRPr="001045B7" w:rsidRDefault="00165124"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4,838</w:t>
            </w:r>
          </w:p>
        </w:tc>
        <w:tc>
          <w:tcPr>
            <w:tcW w:w="1139" w:type="dxa"/>
            <w:vMerge/>
            <w:tcBorders>
              <w:top w:val="nil"/>
              <w:left w:val="single" w:sz="4" w:space="0" w:color="959595"/>
              <w:right w:val="single" w:sz="4" w:space="0" w:color="959595"/>
            </w:tcBorders>
          </w:tcPr>
          <w:p w14:paraId="301AAE8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AA63708" w14:textId="059C1C22"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599D40C" w14:textId="10DCE724"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1968954C" w14:textId="35FB9DAE"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730A2272" w14:textId="77777777" w:rsidTr="00522798">
        <w:trPr>
          <w:trHeight w:val="136"/>
          <w:jc w:val="center"/>
        </w:trPr>
        <w:tc>
          <w:tcPr>
            <w:tcW w:w="3997" w:type="dxa"/>
            <w:tcBorders>
              <w:left w:val="single" w:sz="4" w:space="0" w:color="auto"/>
              <w:right w:val="single" w:sz="4" w:space="0" w:color="959595"/>
            </w:tcBorders>
          </w:tcPr>
          <w:p w14:paraId="2E0DFE07"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máxima</w:t>
            </w:r>
          </w:p>
        </w:tc>
        <w:tc>
          <w:tcPr>
            <w:tcW w:w="1559" w:type="dxa"/>
            <w:tcBorders>
              <w:left w:val="single" w:sz="4" w:space="0" w:color="959595"/>
              <w:right w:val="single" w:sz="4" w:space="0" w:color="959595"/>
            </w:tcBorders>
          </w:tcPr>
          <w:p w14:paraId="69D70F62" w14:textId="62F314FD" w:rsidR="00D76066" w:rsidRPr="001045B7" w:rsidRDefault="00995DC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60.04</w:t>
            </w:r>
          </w:p>
        </w:tc>
        <w:tc>
          <w:tcPr>
            <w:tcW w:w="1139" w:type="dxa"/>
            <w:vMerge/>
            <w:tcBorders>
              <w:top w:val="nil"/>
              <w:left w:val="single" w:sz="4" w:space="0" w:color="959595"/>
              <w:right w:val="single" w:sz="4" w:space="0" w:color="959595"/>
            </w:tcBorders>
          </w:tcPr>
          <w:p w14:paraId="7A760F5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E36AC23" w14:textId="24D0FFE2"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2766B32" w14:textId="231CD981"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03FB24A6" w14:textId="50F005D7"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4A6B5EE5" w14:textId="77777777" w:rsidTr="00522798">
        <w:trPr>
          <w:trHeight w:val="136"/>
          <w:jc w:val="center"/>
        </w:trPr>
        <w:tc>
          <w:tcPr>
            <w:tcW w:w="3997" w:type="dxa"/>
            <w:tcBorders>
              <w:left w:val="single" w:sz="4" w:space="0" w:color="auto"/>
              <w:right w:val="single" w:sz="4" w:space="0" w:color="959595"/>
            </w:tcBorders>
          </w:tcPr>
          <w:p w14:paraId="66D854F1"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7"/>
                <w:w w:val="105"/>
                <w:sz w:val="13"/>
                <w:szCs w:val="15"/>
              </w:rPr>
              <w:t xml:space="preserve"> </w:t>
            </w:r>
            <w:r w:rsidRPr="001045B7">
              <w:rPr>
                <w:rFonts w:asciiTheme="minorHAnsi" w:hAnsiTheme="minorHAnsi" w:cstheme="minorHAnsi"/>
                <w:w w:val="105"/>
                <w:sz w:val="13"/>
                <w:szCs w:val="15"/>
              </w:rPr>
              <w:t>mínima</w:t>
            </w:r>
          </w:p>
        </w:tc>
        <w:tc>
          <w:tcPr>
            <w:tcW w:w="1559" w:type="dxa"/>
            <w:tcBorders>
              <w:left w:val="single" w:sz="4" w:space="0" w:color="959595"/>
              <w:right w:val="single" w:sz="4" w:space="0" w:color="959595"/>
            </w:tcBorders>
          </w:tcPr>
          <w:p w14:paraId="143F8030" w14:textId="2FCA8AA1" w:rsidR="00D76066" w:rsidRPr="001045B7" w:rsidRDefault="00995DC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19.49</w:t>
            </w:r>
          </w:p>
        </w:tc>
        <w:tc>
          <w:tcPr>
            <w:tcW w:w="1139" w:type="dxa"/>
            <w:vMerge/>
            <w:tcBorders>
              <w:top w:val="nil"/>
              <w:left w:val="single" w:sz="4" w:space="0" w:color="959595"/>
              <w:right w:val="single" w:sz="4" w:space="0" w:color="959595"/>
            </w:tcBorders>
          </w:tcPr>
          <w:p w14:paraId="632574B9"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2EFBBB65" w14:textId="2E4EF3C7"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A50D189" w14:textId="5CF140C7"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59831EF4" w14:textId="00F548AA"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042B7CEB" w14:textId="77777777" w:rsidTr="00522798">
        <w:trPr>
          <w:trHeight w:val="136"/>
          <w:jc w:val="center"/>
        </w:trPr>
        <w:tc>
          <w:tcPr>
            <w:tcW w:w="3997" w:type="dxa"/>
            <w:tcBorders>
              <w:left w:val="single" w:sz="4" w:space="0" w:color="auto"/>
              <w:right w:val="single" w:sz="4" w:space="0" w:color="959595"/>
            </w:tcBorders>
          </w:tcPr>
          <w:p w14:paraId="142463B1"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promedio</w:t>
            </w:r>
          </w:p>
        </w:tc>
        <w:tc>
          <w:tcPr>
            <w:tcW w:w="1559" w:type="dxa"/>
            <w:tcBorders>
              <w:left w:val="single" w:sz="4" w:space="0" w:color="959595"/>
              <w:right w:val="single" w:sz="4" w:space="0" w:color="959595"/>
            </w:tcBorders>
          </w:tcPr>
          <w:p w14:paraId="53113160" w14:textId="531D302B" w:rsidR="00D76066" w:rsidRPr="001045B7" w:rsidRDefault="008E1D91"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42.76</w:t>
            </w:r>
          </w:p>
        </w:tc>
        <w:tc>
          <w:tcPr>
            <w:tcW w:w="1139" w:type="dxa"/>
            <w:vMerge/>
            <w:tcBorders>
              <w:top w:val="nil"/>
              <w:left w:val="single" w:sz="4" w:space="0" w:color="959595"/>
              <w:right w:val="single" w:sz="4" w:space="0" w:color="959595"/>
            </w:tcBorders>
          </w:tcPr>
          <w:p w14:paraId="55A012EE"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7903133E" w14:textId="56B5A637"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606291D" w14:textId="3F450AA1"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3563ED1E" w14:textId="25EAE44C"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7602987C" w14:textId="77777777" w:rsidTr="00522798">
        <w:trPr>
          <w:trHeight w:val="136"/>
          <w:jc w:val="center"/>
        </w:trPr>
        <w:tc>
          <w:tcPr>
            <w:tcW w:w="3997" w:type="dxa"/>
            <w:tcBorders>
              <w:left w:val="single" w:sz="4" w:space="0" w:color="auto"/>
              <w:right w:val="single" w:sz="4" w:space="0" w:color="959595"/>
            </w:tcBorders>
          </w:tcPr>
          <w:p w14:paraId="1363FE1E"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Pensionados</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y Jubilados</w:t>
            </w:r>
          </w:p>
        </w:tc>
        <w:tc>
          <w:tcPr>
            <w:tcW w:w="1559" w:type="dxa"/>
            <w:tcBorders>
              <w:left w:val="single" w:sz="4" w:space="0" w:color="959595"/>
              <w:right w:val="single" w:sz="4" w:space="0" w:color="959595"/>
            </w:tcBorders>
          </w:tcPr>
          <w:p w14:paraId="7E1887F5" w14:textId="5F13CB80" w:rsidR="00D76066" w:rsidRPr="001045B7" w:rsidRDefault="0083719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2491</w:t>
            </w:r>
          </w:p>
        </w:tc>
        <w:tc>
          <w:tcPr>
            <w:tcW w:w="1139" w:type="dxa"/>
            <w:vMerge/>
            <w:tcBorders>
              <w:top w:val="nil"/>
              <w:left w:val="single" w:sz="4" w:space="0" w:color="959595"/>
              <w:right w:val="single" w:sz="4" w:space="0" w:color="959595"/>
            </w:tcBorders>
          </w:tcPr>
          <w:p w14:paraId="0E24B1A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0BFF9A8" w14:textId="66704401"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4FD97F64" w14:textId="21D0E866"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65F9059A" w14:textId="11B6831F"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144285CE" w14:textId="77777777" w:rsidTr="00522798">
        <w:trPr>
          <w:trHeight w:val="136"/>
          <w:jc w:val="center"/>
        </w:trPr>
        <w:tc>
          <w:tcPr>
            <w:tcW w:w="3997" w:type="dxa"/>
            <w:tcBorders>
              <w:left w:val="single" w:sz="4" w:space="0" w:color="auto"/>
              <w:right w:val="single" w:sz="4" w:space="0" w:color="959595"/>
            </w:tcBorders>
          </w:tcPr>
          <w:p w14:paraId="5CA0B319"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máxima</w:t>
            </w:r>
          </w:p>
        </w:tc>
        <w:tc>
          <w:tcPr>
            <w:tcW w:w="1559" w:type="dxa"/>
            <w:tcBorders>
              <w:left w:val="single" w:sz="4" w:space="0" w:color="959595"/>
              <w:right w:val="single" w:sz="4" w:space="0" w:color="959595"/>
            </w:tcBorders>
          </w:tcPr>
          <w:p w14:paraId="1C03AF35" w14:textId="27963E95" w:rsidR="00D76066" w:rsidRPr="001045B7" w:rsidRDefault="0083719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102.46</w:t>
            </w:r>
          </w:p>
        </w:tc>
        <w:tc>
          <w:tcPr>
            <w:tcW w:w="1139" w:type="dxa"/>
            <w:vMerge/>
            <w:tcBorders>
              <w:top w:val="nil"/>
              <w:left w:val="single" w:sz="4" w:space="0" w:color="959595"/>
              <w:right w:val="single" w:sz="4" w:space="0" w:color="959595"/>
            </w:tcBorders>
          </w:tcPr>
          <w:p w14:paraId="54655806"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EEEBADE" w14:textId="50EAA0FC"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783A493" w14:textId="6C1DDE6B"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504D71A5" w14:textId="7BEDC7FB"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6B2DDB3F" w14:textId="77777777" w:rsidTr="00522798">
        <w:trPr>
          <w:trHeight w:val="136"/>
          <w:jc w:val="center"/>
        </w:trPr>
        <w:tc>
          <w:tcPr>
            <w:tcW w:w="3997" w:type="dxa"/>
            <w:tcBorders>
              <w:left w:val="single" w:sz="4" w:space="0" w:color="auto"/>
              <w:right w:val="single" w:sz="4" w:space="0" w:color="959595"/>
            </w:tcBorders>
          </w:tcPr>
          <w:p w14:paraId="5713EC14"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7"/>
                <w:w w:val="105"/>
                <w:sz w:val="13"/>
                <w:szCs w:val="15"/>
              </w:rPr>
              <w:t xml:space="preserve"> </w:t>
            </w:r>
            <w:r w:rsidRPr="001045B7">
              <w:rPr>
                <w:rFonts w:asciiTheme="minorHAnsi" w:hAnsiTheme="minorHAnsi" w:cstheme="minorHAnsi"/>
                <w:w w:val="105"/>
                <w:sz w:val="13"/>
                <w:szCs w:val="15"/>
              </w:rPr>
              <w:t>mínima</w:t>
            </w:r>
          </w:p>
        </w:tc>
        <w:tc>
          <w:tcPr>
            <w:tcW w:w="1559" w:type="dxa"/>
            <w:tcBorders>
              <w:left w:val="single" w:sz="4" w:space="0" w:color="959595"/>
              <w:right w:val="single" w:sz="4" w:space="0" w:color="959595"/>
            </w:tcBorders>
          </w:tcPr>
          <w:p w14:paraId="3254969B" w14:textId="618EA098" w:rsidR="00D76066" w:rsidRPr="001045B7" w:rsidRDefault="0083719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37.80</w:t>
            </w:r>
          </w:p>
        </w:tc>
        <w:tc>
          <w:tcPr>
            <w:tcW w:w="1139" w:type="dxa"/>
            <w:vMerge/>
            <w:tcBorders>
              <w:top w:val="nil"/>
              <w:left w:val="single" w:sz="4" w:space="0" w:color="959595"/>
              <w:right w:val="single" w:sz="4" w:space="0" w:color="959595"/>
            </w:tcBorders>
          </w:tcPr>
          <w:p w14:paraId="72227BE4"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2FF7D3E3" w14:textId="766E02BD"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51888142" w14:textId="23D32638"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CD399FD" w14:textId="542ED5F6"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1DCBC09A" w14:textId="77777777" w:rsidTr="00522798">
        <w:trPr>
          <w:trHeight w:val="136"/>
          <w:jc w:val="center"/>
        </w:trPr>
        <w:tc>
          <w:tcPr>
            <w:tcW w:w="3997" w:type="dxa"/>
            <w:tcBorders>
              <w:left w:val="single" w:sz="4" w:space="0" w:color="auto"/>
              <w:right w:val="single" w:sz="4" w:space="0" w:color="959595"/>
            </w:tcBorders>
          </w:tcPr>
          <w:p w14:paraId="5940F752" w14:textId="77777777" w:rsidR="00D76066" w:rsidRPr="001045B7" w:rsidRDefault="00D76066" w:rsidP="00860054">
            <w:pPr>
              <w:pStyle w:val="TableParagraph"/>
              <w:spacing w:before="10" w:line="276" w:lineRule="auto"/>
              <w:ind w:left="184"/>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promedio</w:t>
            </w:r>
          </w:p>
        </w:tc>
        <w:tc>
          <w:tcPr>
            <w:tcW w:w="1559" w:type="dxa"/>
            <w:tcBorders>
              <w:left w:val="single" w:sz="4" w:space="0" w:color="959595"/>
              <w:right w:val="single" w:sz="4" w:space="0" w:color="959595"/>
            </w:tcBorders>
          </w:tcPr>
          <w:p w14:paraId="2C5CF34F" w14:textId="3066C8C6" w:rsidR="00D76066" w:rsidRPr="001045B7" w:rsidRDefault="0083719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65.68</w:t>
            </w:r>
          </w:p>
        </w:tc>
        <w:tc>
          <w:tcPr>
            <w:tcW w:w="1139" w:type="dxa"/>
            <w:vMerge/>
            <w:tcBorders>
              <w:top w:val="nil"/>
              <w:left w:val="single" w:sz="4" w:space="0" w:color="959595"/>
              <w:right w:val="single" w:sz="4" w:space="0" w:color="959595"/>
            </w:tcBorders>
          </w:tcPr>
          <w:p w14:paraId="04EEF478"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E25601B" w14:textId="3F05B70B"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5AE4D4B5" w14:textId="4CA3B28D"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17C108FC" w14:textId="756C090A"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4C3F6F1D" w14:textId="77777777" w:rsidTr="00522798">
        <w:trPr>
          <w:trHeight w:val="137"/>
          <w:jc w:val="center"/>
        </w:trPr>
        <w:tc>
          <w:tcPr>
            <w:tcW w:w="3997" w:type="dxa"/>
            <w:tcBorders>
              <w:left w:val="single" w:sz="4" w:space="0" w:color="auto"/>
              <w:right w:val="single" w:sz="4" w:space="0" w:color="959595"/>
            </w:tcBorders>
          </w:tcPr>
          <w:p w14:paraId="2CA88E64"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Beneficiarios</w:t>
            </w:r>
          </w:p>
        </w:tc>
        <w:tc>
          <w:tcPr>
            <w:tcW w:w="1559" w:type="dxa"/>
            <w:tcBorders>
              <w:left w:val="single" w:sz="4" w:space="0" w:color="959595"/>
              <w:right w:val="single" w:sz="4" w:space="0" w:color="959595"/>
            </w:tcBorders>
          </w:tcPr>
          <w:p w14:paraId="596B5FE1"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074A148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0016391"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10558F31"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3D62F24A"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4A3244EA" w14:textId="77777777" w:rsidTr="00522798">
        <w:trPr>
          <w:trHeight w:val="135"/>
          <w:jc w:val="center"/>
        </w:trPr>
        <w:tc>
          <w:tcPr>
            <w:tcW w:w="3997" w:type="dxa"/>
            <w:tcBorders>
              <w:left w:val="single" w:sz="4" w:space="0" w:color="auto"/>
              <w:right w:val="single" w:sz="4" w:space="0" w:color="959595"/>
            </w:tcBorders>
          </w:tcPr>
          <w:p w14:paraId="38968A8C"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Promedio de años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 servicio (trabajadores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activos)</w:t>
            </w:r>
          </w:p>
        </w:tc>
        <w:tc>
          <w:tcPr>
            <w:tcW w:w="1559" w:type="dxa"/>
            <w:tcBorders>
              <w:left w:val="single" w:sz="4" w:space="0" w:color="959595"/>
              <w:right w:val="single" w:sz="4" w:space="0" w:color="959595"/>
            </w:tcBorders>
          </w:tcPr>
          <w:p w14:paraId="024DDCA1" w14:textId="248BD539" w:rsidR="00D76066" w:rsidRPr="001045B7" w:rsidRDefault="0083719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9.46</w:t>
            </w:r>
          </w:p>
        </w:tc>
        <w:tc>
          <w:tcPr>
            <w:tcW w:w="1139" w:type="dxa"/>
            <w:vMerge/>
            <w:tcBorders>
              <w:top w:val="nil"/>
              <w:left w:val="single" w:sz="4" w:space="0" w:color="959595"/>
              <w:right w:val="single" w:sz="4" w:space="0" w:color="959595"/>
            </w:tcBorders>
          </w:tcPr>
          <w:p w14:paraId="0015AFB5"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B027478" w14:textId="55133C32"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83AF589"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58EA386C" w14:textId="594C0972"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2B13125D" w14:textId="77777777" w:rsidTr="00522798">
        <w:trPr>
          <w:trHeight w:val="137"/>
          <w:jc w:val="center"/>
        </w:trPr>
        <w:tc>
          <w:tcPr>
            <w:tcW w:w="3997" w:type="dxa"/>
            <w:tcBorders>
              <w:left w:val="single" w:sz="4" w:space="0" w:color="auto"/>
              <w:right w:val="single" w:sz="4" w:space="0" w:color="959595"/>
            </w:tcBorders>
          </w:tcPr>
          <w:p w14:paraId="058AA67E" w14:textId="77777777" w:rsidR="00D76066" w:rsidRPr="001045B7" w:rsidRDefault="00D76066" w:rsidP="00860054">
            <w:pPr>
              <w:pStyle w:val="TableParagraph"/>
              <w:spacing w:before="9"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Aportación</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individual</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al</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plan</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pensión</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como</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del</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salario</w:t>
            </w:r>
          </w:p>
        </w:tc>
        <w:tc>
          <w:tcPr>
            <w:tcW w:w="1559" w:type="dxa"/>
            <w:tcBorders>
              <w:left w:val="single" w:sz="4" w:space="0" w:color="959595"/>
              <w:right w:val="single" w:sz="4" w:space="0" w:color="959595"/>
            </w:tcBorders>
          </w:tcPr>
          <w:p w14:paraId="3321EF50" w14:textId="77777777" w:rsidR="00D76066" w:rsidRPr="001045B7" w:rsidRDefault="00D76066" w:rsidP="00860054">
            <w:pPr>
              <w:pStyle w:val="TableParagraph"/>
              <w:spacing w:before="9" w:line="276" w:lineRule="auto"/>
              <w:ind w:right="7"/>
              <w:jc w:val="right"/>
              <w:rPr>
                <w:rFonts w:asciiTheme="minorHAnsi" w:hAnsiTheme="minorHAnsi" w:cstheme="minorHAnsi"/>
                <w:sz w:val="13"/>
                <w:szCs w:val="15"/>
              </w:rPr>
            </w:pPr>
            <w:r w:rsidRPr="001045B7">
              <w:rPr>
                <w:rFonts w:asciiTheme="minorHAnsi" w:hAnsiTheme="minorHAnsi" w:cstheme="minorHAnsi"/>
                <w:w w:val="105"/>
                <w:sz w:val="13"/>
                <w:szCs w:val="15"/>
              </w:rPr>
              <w:t>0.00%</w:t>
            </w:r>
          </w:p>
        </w:tc>
        <w:tc>
          <w:tcPr>
            <w:tcW w:w="1139" w:type="dxa"/>
            <w:vMerge/>
            <w:tcBorders>
              <w:top w:val="nil"/>
              <w:left w:val="single" w:sz="4" w:space="0" w:color="959595"/>
              <w:right w:val="single" w:sz="4" w:space="0" w:color="959595"/>
            </w:tcBorders>
          </w:tcPr>
          <w:p w14:paraId="37E6AB1A"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273ED286" w14:textId="7B8C3E5C" w:rsidR="00D76066" w:rsidRPr="001045B7" w:rsidRDefault="00D76066" w:rsidP="00860054">
            <w:pPr>
              <w:pStyle w:val="TableParagraph"/>
              <w:spacing w:before="9" w:line="276" w:lineRule="auto"/>
              <w:ind w:right="9"/>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01F1C7F" w14:textId="3A236952" w:rsidR="00D76066" w:rsidRPr="001045B7" w:rsidRDefault="00D76066" w:rsidP="00860054">
            <w:pPr>
              <w:pStyle w:val="TableParagraph"/>
              <w:spacing w:before="9" w:line="276" w:lineRule="auto"/>
              <w:ind w:right="10"/>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3495085B" w14:textId="5DF92593" w:rsidR="00D76066" w:rsidRPr="001045B7" w:rsidRDefault="00D76066" w:rsidP="00860054">
            <w:pPr>
              <w:pStyle w:val="TableParagraph"/>
              <w:spacing w:before="9" w:line="276" w:lineRule="auto"/>
              <w:ind w:right="11"/>
              <w:jc w:val="right"/>
              <w:rPr>
                <w:rFonts w:asciiTheme="minorHAnsi" w:hAnsiTheme="minorHAnsi" w:cstheme="minorHAnsi"/>
                <w:sz w:val="13"/>
                <w:szCs w:val="15"/>
              </w:rPr>
            </w:pPr>
          </w:p>
        </w:tc>
      </w:tr>
      <w:tr w:rsidR="00D76066" w:rsidRPr="001045B7" w14:paraId="706F40EA" w14:textId="77777777" w:rsidTr="00522798">
        <w:trPr>
          <w:trHeight w:val="138"/>
          <w:jc w:val="center"/>
        </w:trPr>
        <w:tc>
          <w:tcPr>
            <w:tcW w:w="3997" w:type="dxa"/>
            <w:tcBorders>
              <w:left w:val="single" w:sz="4" w:space="0" w:color="auto"/>
              <w:right w:val="single" w:sz="4" w:space="0" w:color="959595"/>
            </w:tcBorders>
          </w:tcPr>
          <w:p w14:paraId="15B45247" w14:textId="77777777" w:rsidR="00D76066" w:rsidRPr="001045B7" w:rsidRDefault="00D76066" w:rsidP="00860054">
            <w:pPr>
              <w:pStyle w:val="TableParagraph"/>
              <w:spacing w:before="8"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Aportación</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del</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ente</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público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al</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plan</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pensión</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como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del</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salario</w:t>
            </w:r>
          </w:p>
        </w:tc>
        <w:tc>
          <w:tcPr>
            <w:tcW w:w="1559" w:type="dxa"/>
            <w:tcBorders>
              <w:left w:val="single" w:sz="4" w:space="0" w:color="959595"/>
              <w:right w:val="single" w:sz="4" w:space="0" w:color="959595"/>
            </w:tcBorders>
          </w:tcPr>
          <w:p w14:paraId="41C53520" w14:textId="27568EA9" w:rsidR="00D76066" w:rsidRPr="001045B7" w:rsidRDefault="002211C8" w:rsidP="00860054">
            <w:pPr>
              <w:pStyle w:val="TableParagraph"/>
              <w:spacing w:before="8" w:line="276" w:lineRule="auto"/>
              <w:ind w:right="7"/>
              <w:jc w:val="right"/>
              <w:rPr>
                <w:rFonts w:asciiTheme="minorHAnsi" w:hAnsiTheme="minorHAnsi" w:cstheme="minorHAnsi"/>
                <w:sz w:val="13"/>
                <w:szCs w:val="15"/>
              </w:rPr>
            </w:pPr>
            <w:r w:rsidRPr="001045B7">
              <w:rPr>
                <w:rFonts w:asciiTheme="minorHAnsi" w:hAnsiTheme="minorHAnsi" w:cstheme="minorHAnsi"/>
                <w:w w:val="105"/>
                <w:sz w:val="13"/>
                <w:szCs w:val="15"/>
              </w:rPr>
              <w:t>10</w:t>
            </w:r>
            <w:r w:rsidR="00D76066" w:rsidRPr="001045B7">
              <w:rPr>
                <w:rFonts w:asciiTheme="minorHAnsi" w:hAnsiTheme="minorHAnsi" w:cstheme="minorHAnsi"/>
                <w:w w:val="105"/>
                <w:sz w:val="13"/>
                <w:szCs w:val="15"/>
              </w:rPr>
              <w:t>0.00%</w:t>
            </w:r>
          </w:p>
        </w:tc>
        <w:tc>
          <w:tcPr>
            <w:tcW w:w="1139" w:type="dxa"/>
            <w:vMerge/>
            <w:tcBorders>
              <w:top w:val="nil"/>
              <w:left w:val="single" w:sz="4" w:space="0" w:color="959595"/>
              <w:right w:val="single" w:sz="4" w:space="0" w:color="959595"/>
            </w:tcBorders>
          </w:tcPr>
          <w:p w14:paraId="4593E378"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58A3A13" w14:textId="7D8762D5" w:rsidR="00D76066" w:rsidRPr="001045B7" w:rsidRDefault="00D76066" w:rsidP="00860054">
            <w:pPr>
              <w:pStyle w:val="TableParagraph"/>
              <w:spacing w:before="8" w:line="276" w:lineRule="auto"/>
              <w:ind w:right="9"/>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2E2CFAF" w14:textId="3A08C557" w:rsidR="00D76066" w:rsidRPr="001045B7" w:rsidRDefault="00D76066" w:rsidP="00860054">
            <w:pPr>
              <w:pStyle w:val="TableParagraph"/>
              <w:spacing w:before="8" w:line="276" w:lineRule="auto"/>
              <w:ind w:right="10"/>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2462BD0" w14:textId="4E414BE1" w:rsidR="00D76066" w:rsidRPr="001045B7" w:rsidRDefault="00D76066" w:rsidP="00860054">
            <w:pPr>
              <w:pStyle w:val="TableParagraph"/>
              <w:spacing w:before="8" w:line="276" w:lineRule="auto"/>
              <w:ind w:right="11"/>
              <w:jc w:val="right"/>
              <w:rPr>
                <w:rFonts w:asciiTheme="minorHAnsi" w:hAnsiTheme="minorHAnsi" w:cstheme="minorHAnsi"/>
                <w:sz w:val="13"/>
                <w:szCs w:val="15"/>
              </w:rPr>
            </w:pPr>
          </w:p>
        </w:tc>
      </w:tr>
      <w:tr w:rsidR="00D76066" w:rsidRPr="001045B7" w14:paraId="3C837732" w14:textId="77777777" w:rsidTr="00522798">
        <w:trPr>
          <w:trHeight w:val="135"/>
          <w:jc w:val="center"/>
        </w:trPr>
        <w:tc>
          <w:tcPr>
            <w:tcW w:w="3997" w:type="dxa"/>
            <w:tcBorders>
              <w:left w:val="single" w:sz="4" w:space="0" w:color="auto"/>
              <w:right w:val="single" w:sz="4" w:space="0" w:color="959595"/>
            </w:tcBorders>
          </w:tcPr>
          <w:p w14:paraId="771A33AF" w14:textId="77777777" w:rsidR="00D76066" w:rsidRPr="001045B7" w:rsidRDefault="00D76066" w:rsidP="00860054">
            <w:pPr>
              <w:pStyle w:val="TableParagraph"/>
              <w:spacing w:before="9"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Crecimiento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esperado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los</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pensionados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y</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jubilados</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(como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w:t>
            </w:r>
          </w:p>
        </w:tc>
        <w:tc>
          <w:tcPr>
            <w:tcW w:w="1559" w:type="dxa"/>
            <w:tcBorders>
              <w:left w:val="single" w:sz="4" w:space="0" w:color="959595"/>
              <w:right w:val="single" w:sz="4" w:space="0" w:color="959595"/>
            </w:tcBorders>
          </w:tcPr>
          <w:p w14:paraId="433DC952" w14:textId="2F9822FC" w:rsidR="00D76066" w:rsidRPr="001045B7" w:rsidRDefault="002211C8" w:rsidP="00860054">
            <w:pPr>
              <w:pStyle w:val="TableParagraph"/>
              <w:spacing w:before="9" w:line="276" w:lineRule="auto"/>
              <w:ind w:right="12"/>
              <w:jc w:val="right"/>
              <w:rPr>
                <w:rFonts w:asciiTheme="minorHAnsi" w:hAnsiTheme="minorHAnsi" w:cstheme="minorHAnsi"/>
                <w:sz w:val="13"/>
                <w:szCs w:val="15"/>
              </w:rPr>
            </w:pPr>
            <w:r w:rsidRPr="001045B7">
              <w:rPr>
                <w:rFonts w:asciiTheme="minorHAnsi" w:hAnsiTheme="minorHAnsi" w:cstheme="minorHAnsi"/>
                <w:w w:val="105"/>
                <w:sz w:val="13"/>
                <w:szCs w:val="15"/>
                <w:lang w:val="es-MX"/>
              </w:rPr>
              <w:t>17.15</w:t>
            </w:r>
            <w:r w:rsidR="00D76066" w:rsidRPr="001045B7">
              <w:rPr>
                <w:rFonts w:asciiTheme="minorHAnsi" w:hAnsiTheme="minorHAnsi" w:cstheme="minorHAnsi"/>
                <w:w w:val="105"/>
                <w:sz w:val="13"/>
                <w:szCs w:val="15"/>
              </w:rPr>
              <w:t>%</w:t>
            </w:r>
          </w:p>
        </w:tc>
        <w:tc>
          <w:tcPr>
            <w:tcW w:w="1139" w:type="dxa"/>
            <w:vMerge/>
            <w:tcBorders>
              <w:top w:val="nil"/>
              <w:left w:val="single" w:sz="4" w:space="0" w:color="959595"/>
              <w:right w:val="single" w:sz="4" w:space="0" w:color="959595"/>
            </w:tcBorders>
          </w:tcPr>
          <w:p w14:paraId="3461154C"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B7ADB88" w14:textId="67B6D20C" w:rsidR="00D76066" w:rsidRPr="001045B7" w:rsidRDefault="00D76066" w:rsidP="00860054">
            <w:pPr>
              <w:pStyle w:val="TableParagraph"/>
              <w:spacing w:before="9" w:line="276" w:lineRule="auto"/>
              <w:ind w:right="158"/>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344987F" w14:textId="4691F027" w:rsidR="00D76066" w:rsidRPr="001045B7" w:rsidRDefault="00D76066" w:rsidP="00860054">
            <w:pPr>
              <w:pStyle w:val="TableParagraph"/>
              <w:spacing w:before="9" w:line="276" w:lineRule="auto"/>
              <w:ind w:right="159"/>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99AFA6E" w14:textId="4DE7897A" w:rsidR="00D76066" w:rsidRPr="001045B7" w:rsidRDefault="00D76066" w:rsidP="00860054">
            <w:pPr>
              <w:pStyle w:val="TableParagraph"/>
              <w:spacing w:before="9" w:line="276" w:lineRule="auto"/>
              <w:ind w:left="83" w:right="66"/>
              <w:jc w:val="center"/>
              <w:rPr>
                <w:rFonts w:asciiTheme="minorHAnsi" w:hAnsiTheme="minorHAnsi" w:cstheme="minorHAnsi"/>
                <w:sz w:val="13"/>
                <w:szCs w:val="15"/>
              </w:rPr>
            </w:pPr>
          </w:p>
        </w:tc>
      </w:tr>
      <w:tr w:rsidR="00D76066" w:rsidRPr="001045B7" w14:paraId="594F74B9" w14:textId="77777777" w:rsidTr="00522798">
        <w:trPr>
          <w:trHeight w:val="136"/>
          <w:jc w:val="center"/>
        </w:trPr>
        <w:tc>
          <w:tcPr>
            <w:tcW w:w="3997" w:type="dxa"/>
            <w:tcBorders>
              <w:left w:val="single" w:sz="4" w:space="0" w:color="auto"/>
              <w:right w:val="single" w:sz="4" w:space="0" w:color="959595"/>
            </w:tcBorders>
          </w:tcPr>
          <w:p w14:paraId="1A80A06B"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Crecimiento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esperado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los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activos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(como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w:t>
            </w:r>
          </w:p>
        </w:tc>
        <w:tc>
          <w:tcPr>
            <w:tcW w:w="1559" w:type="dxa"/>
            <w:tcBorders>
              <w:left w:val="single" w:sz="4" w:space="0" w:color="959595"/>
              <w:right w:val="single" w:sz="4" w:space="0" w:color="959595"/>
            </w:tcBorders>
          </w:tcPr>
          <w:p w14:paraId="5396E7E3" w14:textId="53A9F41F" w:rsidR="00D76066" w:rsidRPr="001045B7" w:rsidRDefault="002211C8" w:rsidP="00860054">
            <w:pPr>
              <w:pStyle w:val="TableParagraph"/>
              <w:spacing w:before="10" w:line="276" w:lineRule="auto"/>
              <w:ind w:right="12"/>
              <w:jc w:val="right"/>
              <w:rPr>
                <w:rFonts w:asciiTheme="minorHAnsi" w:hAnsiTheme="minorHAnsi" w:cstheme="minorHAnsi"/>
                <w:sz w:val="13"/>
                <w:szCs w:val="15"/>
              </w:rPr>
            </w:pPr>
            <w:r w:rsidRPr="001045B7">
              <w:rPr>
                <w:rFonts w:asciiTheme="minorHAnsi" w:hAnsiTheme="minorHAnsi" w:cstheme="minorHAnsi"/>
                <w:w w:val="105"/>
                <w:sz w:val="13"/>
                <w:szCs w:val="15"/>
                <w:lang w:val="es-MX"/>
              </w:rPr>
              <w:t>0.00</w:t>
            </w:r>
            <w:r w:rsidR="00D76066" w:rsidRPr="001045B7">
              <w:rPr>
                <w:rFonts w:asciiTheme="minorHAnsi" w:hAnsiTheme="minorHAnsi" w:cstheme="minorHAnsi"/>
                <w:w w:val="105"/>
                <w:sz w:val="13"/>
                <w:szCs w:val="15"/>
              </w:rPr>
              <w:t>%</w:t>
            </w:r>
          </w:p>
        </w:tc>
        <w:tc>
          <w:tcPr>
            <w:tcW w:w="1139" w:type="dxa"/>
            <w:vMerge/>
            <w:tcBorders>
              <w:top w:val="nil"/>
              <w:left w:val="single" w:sz="4" w:space="0" w:color="959595"/>
              <w:right w:val="single" w:sz="4" w:space="0" w:color="959595"/>
            </w:tcBorders>
          </w:tcPr>
          <w:p w14:paraId="5F4AC016"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1B7F6EA" w14:textId="5E787A73" w:rsidR="00D76066" w:rsidRPr="001045B7" w:rsidRDefault="00D76066" w:rsidP="00860054">
            <w:pPr>
              <w:pStyle w:val="TableParagraph"/>
              <w:spacing w:before="10" w:line="276" w:lineRule="auto"/>
              <w:ind w:right="1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19885091" w14:textId="322F5FBC" w:rsidR="00D76066" w:rsidRPr="001045B7" w:rsidRDefault="00D76066" w:rsidP="00860054">
            <w:pPr>
              <w:pStyle w:val="TableParagraph"/>
              <w:spacing w:before="10" w:line="276" w:lineRule="auto"/>
              <w:ind w:right="1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1D879130" w14:textId="6BA4F3F1" w:rsidR="00D76066" w:rsidRPr="001045B7" w:rsidRDefault="00D76066" w:rsidP="00860054">
            <w:pPr>
              <w:pStyle w:val="TableParagraph"/>
              <w:spacing w:before="10" w:line="276" w:lineRule="auto"/>
              <w:ind w:right="15"/>
              <w:jc w:val="right"/>
              <w:rPr>
                <w:rFonts w:asciiTheme="minorHAnsi" w:hAnsiTheme="minorHAnsi" w:cstheme="minorHAnsi"/>
                <w:sz w:val="13"/>
                <w:szCs w:val="15"/>
              </w:rPr>
            </w:pPr>
          </w:p>
        </w:tc>
      </w:tr>
      <w:tr w:rsidR="00D76066" w:rsidRPr="001045B7" w14:paraId="0E1F0A52" w14:textId="77777777" w:rsidTr="00522798">
        <w:trPr>
          <w:trHeight w:val="136"/>
          <w:jc w:val="center"/>
        </w:trPr>
        <w:tc>
          <w:tcPr>
            <w:tcW w:w="3997" w:type="dxa"/>
            <w:tcBorders>
              <w:left w:val="single" w:sz="4" w:space="0" w:color="auto"/>
              <w:right w:val="single" w:sz="4" w:space="0" w:color="959595"/>
            </w:tcBorders>
          </w:tcPr>
          <w:p w14:paraId="583DBDF0"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Edad</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 Jubilación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Pensión</w:t>
            </w:r>
          </w:p>
        </w:tc>
        <w:tc>
          <w:tcPr>
            <w:tcW w:w="1559" w:type="dxa"/>
            <w:tcBorders>
              <w:left w:val="single" w:sz="4" w:space="0" w:color="959595"/>
              <w:right w:val="single" w:sz="4" w:space="0" w:color="959595"/>
            </w:tcBorders>
          </w:tcPr>
          <w:p w14:paraId="53AC8D22" w14:textId="52FC011D" w:rsidR="00D76066" w:rsidRPr="001045B7" w:rsidRDefault="00CF54A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59.59</w:t>
            </w:r>
          </w:p>
        </w:tc>
        <w:tc>
          <w:tcPr>
            <w:tcW w:w="1139" w:type="dxa"/>
            <w:vMerge/>
            <w:tcBorders>
              <w:top w:val="nil"/>
              <w:left w:val="single" w:sz="4" w:space="0" w:color="959595"/>
              <w:right w:val="single" w:sz="4" w:space="0" w:color="959595"/>
            </w:tcBorders>
          </w:tcPr>
          <w:p w14:paraId="1DAF2F3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64B4017D" w14:textId="7F16D98A"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68A9F971" w14:textId="11EAFDCA"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5BD34681" w14:textId="4EFE6EBC"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61781522" w14:textId="77777777" w:rsidTr="00522798">
        <w:trPr>
          <w:trHeight w:val="81"/>
          <w:jc w:val="center"/>
        </w:trPr>
        <w:tc>
          <w:tcPr>
            <w:tcW w:w="3997" w:type="dxa"/>
            <w:tcBorders>
              <w:left w:val="single" w:sz="4" w:space="0" w:color="auto"/>
              <w:right w:val="single" w:sz="4" w:space="0" w:color="959595"/>
            </w:tcBorders>
          </w:tcPr>
          <w:p w14:paraId="57DB985F"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Esperanza</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 vida</w:t>
            </w:r>
          </w:p>
        </w:tc>
        <w:tc>
          <w:tcPr>
            <w:tcW w:w="1559" w:type="dxa"/>
            <w:tcBorders>
              <w:left w:val="single" w:sz="4" w:space="0" w:color="959595"/>
              <w:right w:val="single" w:sz="4" w:space="0" w:color="959595"/>
            </w:tcBorders>
          </w:tcPr>
          <w:p w14:paraId="1E715146" w14:textId="696AEA3E" w:rsidR="00D76066" w:rsidRPr="001045B7" w:rsidRDefault="00CF54A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74.5</w:t>
            </w:r>
          </w:p>
        </w:tc>
        <w:tc>
          <w:tcPr>
            <w:tcW w:w="1139" w:type="dxa"/>
            <w:vMerge/>
            <w:tcBorders>
              <w:top w:val="nil"/>
              <w:left w:val="single" w:sz="4" w:space="0" w:color="959595"/>
              <w:right w:val="single" w:sz="4" w:space="0" w:color="959595"/>
            </w:tcBorders>
          </w:tcPr>
          <w:p w14:paraId="7C47BF5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6783A546" w14:textId="3C539E43"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40684B44" w14:textId="022764D3"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C1C4B90" w14:textId="2AA474F3"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70EF6D7E" w14:textId="77777777" w:rsidTr="00522798">
        <w:trPr>
          <w:trHeight w:val="205"/>
          <w:jc w:val="center"/>
        </w:trPr>
        <w:tc>
          <w:tcPr>
            <w:tcW w:w="3997" w:type="dxa"/>
            <w:tcBorders>
              <w:left w:val="single" w:sz="4" w:space="0" w:color="auto"/>
              <w:right w:val="single" w:sz="4" w:space="0" w:color="959595"/>
            </w:tcBorders>
          </w:tcPr>
          <w:p w14:paraId="56CF98A9"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Ingresos</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del</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Fondo</w:t>
            </w:r>
          </w:p>
        </w:tc>
        <w:tc>
          <w:tcPr>
            <w:tcW w:w="1559" w:type="dxa"/>
            <w:tcBorders>
              <w:left w:val="single" w:sz="4" w:space="0" w:color="959595"/>
              <w:right w:val="single" w:sz="4" w:space="0" w:color="959595"/>
            </w:tcBorders>
          </w:tcPr>
          <w:p w14:paraId="75206707"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771D7D5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15F4282"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7E875A74"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29A5FD31"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05231524" w14:textId="77777777" w:rsidTr="00522798">
        <w:trPr>
          <w:trHeight w:val="81"/>
          <w:jc w:val="center"/>
        </w:trPr>
        <w:tc>
          <w:tcPr>
            <w:tcW w:w="3997" w:type="dxa"/>
            <w:tcBorders>
              <w:left w:val="single" w:sz="4" w:space="0" w:color="auto"/>
              <w:right w:val="single" w:sz="4" w:space="0" w:color="959595"/>
            </w:tcBorders>
          </w:tcPr>
          <w:p w14:paraId="2C486672"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Ingresos</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Anuales</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al</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Fondo</w:t>
            </w:r>
            <w:r w:rsidRPr="001045B7">
              <w:rPr>
                <w:rFonts w:asciiTheme="minorHAnsi" w:hAnsiTheme="minorHAnsi" w:cstheme="minorHAnsi"/>
                <w:spacing w:val="-5"/>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5"/>
                <w:w w:val="105"/>
                <w:sz w:val="13"/>
                <w:szCs w:val="15"/>
              </w:rPr>
              <w:t xml:space="preserve"> </w:t>
            </w:r>
            <w:r w:rsidRPr="001045B7">
              <w:rPr>
                <w:rFonts w:asciiTheme="minorHAnsi" w:hAnsiTheme="minorHAnsi" w:cstheme="minorHAnsi"/>
                <w:w w:val="105"/>
                <w:sz w:val="13"/>
                <w:szCs w:val="15"/>
              </w:rPr>
              <w:t>Pensiones</w:t>
            </w:r>
          </w:p>
        </w:tc>
        <w:tc>
          <w:tcPr>
            <w:tcW w:w="1559" w:type="dxa"/>
            <w:tcBorders>
              <w:left w:val="single" w:sz="4" w:space="0" w:color="959595"/>
              <w:right w:val="single" w:sz="4" w:space="0" w:color="959595"/>
            </w:tcBorders>
          </w:tcPr>
          <w:p w14:paraId="708EFE00" w14:textId="75D4D4AC" w:rsidR="00D76066" w:rsidRPr="001045B7" w:rsidRDefault="00F7723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rPr>
              <w:t>-</w:t>
            </w:r>
          </w:p>
        </w:tc>
        <w:tc>
          <w:tcPr>
            <w:tcW w:w="1139" w:type="dxa"/>
            <w:vMerge/>
            <w:tcBorders>
              <w:top w:val="nil"/>
              <w:left w:val="single" w:sz="4" w:space="0" w:color="959595"/>
              <w:right w:val="single" w:sz="4" w:space="0" w:color="959595"/>
            </w:tcBorders>
          </w:tcPr>
          <w:p w14:paraId="38B336FE"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E5184D1" w14:textId="7FF1D553"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86117E6" w14:textId="51E60244"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2FDEA175" w14:textId="6EEB3F3D"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104B1C5E" w14:textId="77777777" w:rsidTr="00522798">
        <w:trPr>
          <w:trHeight w:val="205"/>
          <w:jc w:val="center"/>
        </w:trPr>
        <w:tc>
          <w:tcPr>
            <w:tcW w:w="3997" w:type="dxa"/>
            <w:tcBorders>
              <w:left w:val="single" w:sz="4" w:space="0" w:color="auto"/>
              <w:right w:val="single" w:sz="4" w:space="0" w:color="959595"/>
            </w:tcBorders>
          </w:tcPr>
          <w:p w14:paraId="2DEEC3F8"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Nómina</w:t>
            </w:r>
            <w:r w:rsidRPr="001045B7">
              <w:rPr>
                <w:rFonts w:asciiTheme="minorHAnsi" w:hAnsiTheme="minorHAnsi" w:cstheme="minorHAnsi"/>
                <w:b/>
                <w:bCs/>
                <w:spacing w:val="7"/>
                <w:w w:val="105"/>
                <w:sz w:val="13"/>
                <w:szCs w:val="15"/>
              </w:rPr>
              <w:t xml:space="preserve"> </w:t>
            </w:r>
            <w:r w:rsidRPr="001045B7">
              <w:rPr>
                <w:rFonts w:asciiTheme="minorHAnsi" w:hAnsiTheme="minorHAnsi" w:cstheme="minorHAnsi"/>
                <w:b/>
                <w:bCs/>
                <w:w w:val="105"/>
                <w:sz w:val="13"/>
                <w:szCs w:val="15"/>
              </w:rPr>
              <w:t>anual</w:t>
            </w:r>
          </w:p>
        </w:tc>
        <w:tc>
          <w:tcPr>
            <w:tcW w:w="1559" w:type="dxa"/>
            <w:tcBorders>
              <w:left w:val="single" w:sz="4" w:space="0" w:color="959595"/>
              <w:right w:val="single" w:sz="4" w:space="0" w:color="959595"/>
            </w:tcBorders>
          </w:tcPr>
          <w:p w14:paraId="3BE0DC48"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3C6F922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F47578F"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0EF6DDEC"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2FAC5976"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3FE68258" w14:textId="77777777" w:rsidTr="00522798">
        <w:trPr>
          <w:trHeight w:val="136"/>
          <w:jc w:val="center"/>
        </w:trPr>
        <w:tc>
          <w:tcPr>
            <w:tcW w:w="3997" w:type="dxa"/>
            <w:tcBorders>
              <w:left w:val="single" w:sz="4" w:space="0" w:color="auto"/>
              <w:right w:val="single" w:sz="4" w:space="0" w:color="959595"/>
            </w:tcBorders>
          </w:tcPr>
          <w:p w14:paraId="2C8C0CA2"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Activos</w:t>
            </w:r>
          </w:p>
        </w:tc>
        <w:tc>
          <w:tcPr>
            <w:tcW w:w="1559" w:type="dxa"/>
            <w:tcBorders>
              <w:left w:val="single" w:sz="4" w:space="0" w:color="959595"/>
              <w:right w:val="single" w:sz="4" w:space="0" w:color="959595"/>
            </w:tcBorders>
          </w:tcPr>
          <w:p w14:paraId="13CD5C1A" w14:textId="11BD8A9C" w:rsidR="00D76066" w:rsidRPr="001045B7" w:rsidRDefault="00CF54A9"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1,413,747,714.53</w:t>
            </w:r>
          </w:p>
        </w:tc>
        <w:tc>
          <w:tcPr>
            <w:tcW w:w="1139" w:type="dxa"/>
            <w:vMerge/>
            <w:tcBorders>
              <w:top w:val="nil"/>
              <w:left w:val="single" w:sz="4" w:space="0" w:color="959595"/>
              <w:right w:val="single" w:sz="4" w:space="0" w:color="959595"/>
            </w:tcBorders>
          </w:tcPr>
          <w:p w14:paraId="4852FC3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2A33269" w14:textId="1CCF978E"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9D1AADB" w14:textId="211424AC"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3B945CB0" w14:textId="7B91BD32"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5777DD31" w14:textId="77777777" w:rsidTr="00522798">
        <w:trPr>
          <w:trHeight w:val="136"/>
          <w:jc w:val="center"/>
        </w:trPr>
        <w:tc>
          <w:tcPr>
            <w:tcW w:w="3997" w:type="dxa"/>
            <w:tcBorders>
              <w:left w:val="single" w:sz="4" w:space="0" w:color="auto"/>
              <w:right w:val="single" w:sz="4" w:space="0" w:color="959595"/>
            </w:tcBorders>
          </w:tcPr>
          <w:p w14:paraId="09233161"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Pensionados</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y Jubilados</w:t>
            </w:r>
          </w:p>
        </w:tc>
        <w:tc>
          <w:tcPr>
            <w:tcW w:w="1559" w:type="dxa"/>
            <w:tcBorders>
              <w:left w:val="single" w:sz="4" w:space="0" w:color="959595"/>
              <w:right w:val="single" w:sz="4" w:space="0" w:color="959595"/>
            </w:tcBorders>
          </w:tcPr>
          <w:p w14:paraId="262A0DB0" w14:textId="78670B71" w:rsidR="00D76066" w:rsidRPr="001045B7" w:rsidRDefault="00C17E54"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718,357,579.40</w:t>
            </w:r>
          </w:p>
        </w:tc>
        <w:tc>
          <w:tcPr>
            <w:tcW w:w="1139" w:type="dxa"/>
            <w:vMerge/>
            <w:tcBorders>
              <w:top w:val="nil"/>
              <w:left w:val="single" w:sz="4" w:space="0" w:color="959595"/>
              <w:right w:val="single" w:sz="4" w:space="0" w:color="959595"/>
            </w:tcBorders>
          </w:tcPr>
          <w:p w14:paraId="365BDC4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7D1F34C2" w14:textId="3D0D4B5C"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137FEEC" w14:textId="0C589308"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C3B74BB" w14:textId="62F5D77C"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205D7CA8" w14:textId="77777777" w:rsidTr="00522798">
        <w:trPr>
          <w:trHeight w:val="81"/>
          <w:jc w:val="center"/>
        </w:trPr>
        <w:tc>
          <w:tcPr>
            <w:tcW w:w="3997" w:type="dxa"/>
            <w:tcBorders>
              <w:left w:val="single" w:sz="4" w:space="0" w:color="auto"/>
              <w:right w:val="single" w:sz="4" w:space="0" w:color="959595"/>
            </w:tcBorders>
          </w:tcPr>
          <w:p w14:paraId="2C6D8F8C"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Beneficiarios de</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Pensionados</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y</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Jubilados</w:t>
            </w:r>
          </w:p>
        </w:tc>
        <w:tc>
          <w:tcPr>
            <w:tcW w:w="1559" w:type="dxa"/>
            <w:tcBorders>
              <w:left w:val="single" w:sz="4" w:space="0" w:color="959595"/>
              <w:right w:val="single" w:sz="4" w:space="0" w:color="959595"/>
            </w:tcBorders>
          </w:tcPr>
          <w:p w14:paraId="0228B32C" w14:textId="00EFD063" w:rsidR="00D76066" w:rsidRPr="001045B7" w:rsidRDefault="00D76066" w:rsidP="00860054">
            <w:pPr>
              <w:pStyle w:val="TableParagraph"/>
              <w:spacing w:before="10" w:line="276" w:lineRule="auto"/>
              <w:ind w:right="41"/>
              <w:jc w:val="right"/>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6E6E532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9782961" w14:textId="729DD909"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31D8398B" w14:textId="1C187DC6"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F245207" w14:textId="4210DDC4"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72955AB0" w14:textId="77777777" w:rsidTr="00522798">
        <w:trPr>
          <w:trHeight w:val="205"/>
          <w:jc w:val="center"/>
        </w:trPr>
        <w:tc>
          <w:tcPr>
            <w:tcW w:w="3997" w:type="dxa"/>
            <w:tcBorders>
              <w:left w:val="single" w:sz="4" w:space="0" w:color="auto"/>
              <w:right w:val="single" w:sz="4" w:space="0" w:color="959595"/>
            </w:tcBorders>
          </w:tcPr>
          <w:p w14:paraId="3D83FD71" w14:textId="77777777" w:rsidR="00D76066" w:rsidRPr="001045B7" w:rsidRDefault="00D76066" w:rsidP="00860054">
            <w:pPr>
              <w:pStyle w:val="TableParagraph"/>
              <w:spacing w:before="79"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Monto</w:t>
            </w:r>
            <w:r w:rsidRPr="001045B7">
              <w:rPr>
                <w:rFonts w:asciiTheme="minorHAnsi" w:hAnsiTheme="minorHAnsi" w:cstheme="minorHAnsi"/>
                <w:b/>
                <w:bCs/>
                <w:spacing w:val="8"/>
                <w:w w:val="105"/>
                <w:sz w:val="13"/>
                <w:szCs w:val="15"/>
              </w:rPr>
              <w:t xml:space="preserve"> </w:t>
            </w:r>
            <w:r w:rsidRPr="001045B7">
              <w:rPr>
                <w:rFonts w:asciiTheme="minorHAnsi" w:hAnsiTheme="minorHAnsi" w:cstheme="minorHAnsi"/>
                <w:b/>
                <w:bCs/>
                <w:w w:val="105"/>
                <w:sz w:val="13"/>
                <w:szCs w:val="15"/>
              </w:rPr>
              <w:t>mensual</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por</w:t>
            </w:r>
            <w:r w:rsidRPr="001045B7">
              <w:rPr>
                <w:rFonts w:asciiTheme="minorHAnsi" w:hAnsiTheme="minorHAnsi" w:cstheme="minorHAnsi"/>
                <w:b/>
                <w:bCs/>
                <w:spacing w:val="9"/>
                <w:w w:val="105"/>
                <w:sz w:val="13"/>
                <w:szCs w:val="15"/>
              </w:rPr>
              <w:t xml:space="preserve"> </w:t>
            </w:r>
            <w:r w:rsidRPr="001045B7">
              <w:rPr>
                <w:rFonts w:asciiTheme="minorHAnsi" w:hAnsiTheme="minorHAnsi" w:cstheme="minorHAnsi"/>
                <w:b/>
                <w:bCs/>
                <w:w w:val="105"/>
                <w:sz w:val="13"/>
                <w:szCs w:val="15"/>
              </w:rPr>
              <w:t>pensión</w:t>
            </w:r>
          </w:p>
        </w:tc>
        <w:tc>
          <w:tcPr>
            <w:tcW w:w="1559" w:type="dxa"/>
            <w:tcBorders>
              <w:left w:val="single" w:sz="4" w:space="0" w:color="959595"/>
              <w:right w:val="single" w:sz="4" w:space="0" w:color="959595"/>
            </w:tcBorders>
          </w:tcPr>
          <w:p w14:paraId="0B9EABAD"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612CB43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B0B37F8"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486ED439"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5ED07236"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0C8F040E" w14:textId="77777777" w:rsidTr="00522798">
        <w:trPr>
          <w:trHeight w:val="136"/>
          <w:jc w:val="center"/>
        </w:trPr>
        <w:tc>
          <w:tcPr>
            <w:tcW w:w="3997" w:type="dxa"/>
            <w:tcBorders>
              <w:left w:val="single" w:sz="4" w:space="0" w:color="auto"/>
              <w:right w:val="single" w:sz="4" w:space="0" w:color="959595"/>
            </w:tcBorders>
          </w:tcPr>
          <w:p w14:paraId="66C510A4"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Máximo</w:t>
            </w:r>
          </w:p>
        </w:tc>
        <w:tc>
          <w:tcPr>
            <w:tcW w:w="1559" w:type="dxa"/>
            <w:tcBorders>
              <w:left w:val="single" w:sz="4" w:space="0" w:color="959595"/>
              <w:right w:val="single" w:sz="4" w:space="0" w:color="959595"/>
            </w:tcBorders>
          </w:tcPr>
          <w:p w14:paraId="311C436A" w14:textId="660E1516" w:rsidR="00D76066" w:rsidRPr="001045B7" w:rsidRDefault="00C17E54"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93,401.75</w:t>
            </w:r>
          </w:p>
        </w:tc>
        <w:tc>
          <w:tcPr>
            <w:tcW w:w="1139" w:type="dxa"/>
            <w:vMerge/>
            <w:tcBorders>
              <w:top w:val="nil"/>
              <w:left w:val="single" w:sz="4" w:space="0" w:color="959595"/>
              <w:right w:val="single" w:sz="4" w:space="0" w:color="959595"/>
            </w:tcBorders>
          </w:tcPr>
          <w:p w14:paraId="2452F933"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E2EDC24" w14:textId="41B8F2A5"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6C016EA" w14:textId="7F538241"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123BCD93" w14:textId="2C9C32BF"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5811389B" w14:textId="77777777" w:rsidTr="00522798">
        <w:trPr>
          <w:trHeight w:val="136"/>
          <w:jc w:val="center"/>
        </w:trPr>
        <w:tc>
          <w:tcPr>
            <w:tcW w:w="3997" w:type="dxa"/>
            <w:tcBorders>
              <w:left w:val="single" w:sz="4" w:space="0" w:color="auto"/>
              <w:right w:val="single" w:sz="4" w:space="0" w:color="959595"/>
            </w:tcBorders>
          </w:tcPr>
          <w:p w14:paraId="659B4608"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sz w:val="13"/>
                <w:szCs w:val="15"/>
              </w:rPr>
              <w:t>Mínimo</w:t>
            </w:r>
          </w:p>
        </w:tc>
        <w:tc>
          <w:tcPr>
            <w:tcW w:w="1559" w:type="dxa"/>
            <w:tcBorders>
              <w:left w:val="single" w:sz="4" w:space="0" w:color="959595"/>
              <w:right w:val="single" w:sz="4" w:space="0" w:color="959595"/>
            </w:tcBorders>
          </w:tcPr>
          <w:p w14:paraId="10DA7C8C" w14:textId="05BB4B3D" w:rsidR="00D76066" w:rsidRPr="001045B7" w:rsidRDefault="00C17E54"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7,752.33</w:t>
            </w:r>
          </w:p>
        </w:tc>
        <w:tc>
          <w:tcPr>
            <w:tcW w:w="1139" w:type="dxa"/>
            <w:vMerge/>
            <w:tcBorders>
              <w:top w:val="nil"/>
              <w:left w:val="single" w:sz="4" w:space="0" w:color="959595"/>
              <w:right w:val="single" w:sz="4" w:space="0" w:color="959595"/>
            </w:tcBorders>
          </w:tcPr>
          <w:p w14:paraId="28E8BFF5"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418DD38" w14:textId="26A390A0"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48EB5E32" w14:textId="3FFEA242"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08898E7E" w14:textId="6F4187AB"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249D1856" w14:textId="77777777" w:rsidTr="00522798">
        <w:trPr>
          <w:trHeight w:val="81"/>
          <w:jc w:val="center"/>
        </w:trPr>
        <w:tc>
          <w:tcPr>
            <w:tcW w:w="3997" w:type="dxa"/>
            <w:tcBorders>
              <w:left w:val="single" w:sz="4" w:space="0" w:color="auto"/>
              <w:right w:val="single" w:sz="4" w:space="0" w:color="959595"/>
            </w:tcBorders>
          </w:tcPr>
          <w:p w14:paraId="27B5663B"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Promedio</w:t>
            </w:r>
          </w:p>
        </w:tc>
        <w:tc>
          <w:tcPr>
            <w:tcW w:w="1559" w:type="dxa"/>
            <w:tcBorders>
              <w:left w:val="single" w:sz="4" w:space="0" w:color="959595"/>
              <w:right w:val="single" w:sz="4" w:space="0" w:color="959595"/>
            </w:tcBorders>
          </w:tcPr>
          <w:p w14:paraId="751FA9B1" w14:textId="53100967" w:rsidR="00D76066" w:rsidRPr="001045B7" w:rsidRDefault="00C17E54"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24,031.77</w:t>
            </w:r>
          </w:p>
        </w:tc>
        <w:tc>
          <w:tcPr>
            <w:tcW w:w="1139" w:type="dxa"/>
            <w:vMerge/>
            <w:tcBorders>
              <w:top w:val="nil"/>
              <w:left w:val="single" w:sz="4" w:space="0" w:color="959595"/>
              <w:right w:val="single" w:sz="4" w:space="0" w:color="959595"/>
            </w:tcBorders>
          </w:tcPr>
          <w:p w14:paraId="5ABDD759"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FFB4879" w14:textId="169F674B"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6182D50" w14:textId="72E35777"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088F2A5C" w14:textId="6BF00B03"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52362820" w14:textId="77777777" w:rsidTr="00522798">
        <w:trPr>
          <w:trHeight w:val="81"/>
          <w:jc w:val="center"/>
        </w:trPr>
        <w:tc>
          <w:tcPr>
            <w:tcW w:w="3997" w:type="dxa"/>
            <w:tcBorders>
              <w:left w:val="single" w:sz="4" w:space="0" w:color="auto"/>
              <w:right w:val="single" w:sz="4" w:space="0" w:color="959595"/>
            </w:tcBorders>
          </w:tcPr>
          <w:p w14:paraId="39BB742F"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Monto</w:t>
            </w:r>
            <w:r w:rsidRPr="001045B7">
              <w:rPr>
                <w:rFonts w:asciiTheme="minorHAnsi" w:hAnsiTheme="minorHAnsi" w:cstheme="minorHAnsi"/>
                <w:b/>
                <w:bCs/>
                <w:spacing w:val="7"/>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7"/>
                <w:w w:val="105"/>
                <w:sz w:val="13"/>
                <w:szCs w:val="15"/>
              </w:rPr>
              <w:t xml:space="preserve"> </w:t>
            </w:r>
            <w:r w:rsidRPr="001045B7">
              <w:rPr>
                <w:rFonts w:asciiTheme="minorHAnsi" w:hAnsiTheme="minorHAnsi" w:cstheme="minorHAnsi"/>
                <w:b/>
                <w:bCs/>
                <w:w w:val="105"/>
                <w:sz w:val="13"/>
                <w:szCs w:val="15"/>
              </w:rPr>
              <w:t>la</w:t>
            </w:r>
            <w:r w:rsidRPr="001045B7">
              <w:rPr>
                <w:rFonts w:asciiTheme="minorHAnsi" w:hAnsiTheme="minorHAnsi" w:cstheme="minorHAnsi"/>
                <w:b/>
                <w:bCs/>
                <w:spacing w:val="6"/>
                <w:w w:val="105"/>
                <w:sz w:val="13"/>
                <w:szCs w:val="15"/>
              </w:rPr>
              <w:t xml:space="preserve"> </w:t>
            </w:r>
            <w:r w:rsidRPr="001045B7">
              <w:rPr>
                <w:rFonts w:asciiTheme="minorHAnsi" w:hAnsiTheme="minorHAnsi" w:cstheme="minorHAnsi"/>
                <w:b/>
                <w:bCs/>
                <w:w w:val="105"/>
                <w:sz w:val="13"/>
                <w:szCs w:val="15"/>
              </w:rPr>
              <w:t>reserva</w:t>
            </w:r>
          </w:p>
        </w:tc>
        <w:tc>
          <w:tcPr>
            <w:tcW w:w="1559" w:type="dxa"/>
            <w:tcBorders>
              <w:left w:val="single" w:sz="4" w:space="0" w:color="959595"/>
              <w:right w:val="single" w:sz="4" w:space="0" w:color="959595"/>
            </w:tcBorders>
          </w:tcPr>
          <w:p w14:paraId="6764F9DA" w14:textId="1FF37A00" w:rsidR="00D76066" w:rsidRPr="001045B7" w:rsidRDefault="00C17E54" w:rsidP="00860054">
            <w:pPr>
              <w:pStyle w:val="TableParagraph"/>
              <w:spacing w:before="78"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1,183,753,923.06</w:t>
            </w:r>
          </w:p>
        </w:tc>
        <w:tc>
          <w:tcPr>
            <w:tcW w:w="1139" w:type="dxa"/>
            <w:vMerge/>
            <w:tcBorders>
              <w:top w:val="nil"/>
              <w:left w:val="single" w:sz="4" w:space="0" w:color="959595"/>
              <w:right w:val="single" w:sz="4" w:space="0" w:color="959595"/>
            </w:tcBorders>
          </w:tcPr>
          <w:p w14:paraId="27D204A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F0A2A94" w14:textId="128656ED" w:rsidR="00D76066" w:rsidRPr="001045B7" w:rsidRDefault="00D76066" w:rsidP="00860054">
            <w:pPr>
              <w:pStyle w:val="TableParagraph"/>
              <w:spacing w:before="78"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4103F6B" w14:textId="4F4B303C" w:rsidR="00D76066" w:rsidRPr="001045B7" w:rsidRDefault="00D76066" w:rsidP="00860054">
            <w:pPr>
              <w:pStyle w:val="TableParagraph"/>
              <w:spacing w:before="78"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E5DA291" w14:textId="7C4A73D8" w:rsidR="00D76066" w:rsidRPr="001045B7" w:rsidRDefault="00D76066" w:rsidP="00860054">
            <w:pPr>
              <w:pStyle w:val="TableParagraph"/>
              <w:spacing w:before="78" w:line="276" w:lineRule="auto"/>
              <w:ind w:right="45"/>
              <w:jc w:val="right"/>
              <w:rPr>
                <w:rFonts w:asciiTheme="minorHAnsi" w:hAnsiTheme="minorHAnsi" w:cstheme="minorHAnsi"/>
                <w:sz w:val="13"/>
                <w:szCs w:val="15"/>
              </w:rPr>
            </w:pPr>
          </w:p>
        </w:tc>
      </w:tr>
      <w:tr w:rsidR="00D76066" w:rsidRPr="001045B7" w14:paraId="72A5F7EC" w14:textId="77777777" w:rsidTr="00522798">
        <w:trPr>
          <w:trHeight w:val="205"/>
          <w:jc w:val="center"/>
        </w:trPr>
        <w:tc>
          <w:tcPr>
            <w:tcW w:w="3997" w:type="dxa"/>
            <w:tcBorders>
              <w:left w:val="single" w:sz="4" w:space="0" w:color="auto"/>
              <w:right w:val="single" w:sz="4" w:space="0" w:color="959595"/>
            </w:tcBorders>
          </w:tcPr>
          <w:p w14:paraId="02AE38EF"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Valor</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presente</w:t>
            </w:r>
            <w:r w:rsidRPr="001045B7">
              <w:rPr>
                <w:rFonts w:asciiTheme="minorHAnsi" w:hAnsiTheme="minorHAnsi" w:cstheme="minorHAnsi"/>
                <w:b/>
                <w:bCs/>
                <w:spacing w:val="12"/>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las</w:t>
            </w:r>
            <w:r w:rsidRPr="001045B7">
              <w:rPr>
                <w:rFonts w:asciiTheme="minorHAnsi" w:hAnsiTheme="minorHAnsi" w:cstheme="minorHAnsi"/>
                <w:b/>
                <w:bCs/>
                <w:spacing w:val="12"/>
                <w:w w:val="105"/>
                <w:sz w:val="13"/>
                <w:szCs w:val="15"/>
              </w:rPr>
              <w:t xml:space="preserve"> </w:t>
            </w:r>
            <w:r w:rsidRPr="001045B7">
              <w:rPr>
                <w:rFonts w:asciiTheme="minorHAnsi" w:hAnsiTheme="minorHAnsi" w:cstheme="minorHAnsi"/>
                <w:b/>
                <w:bCs/>
                <w:w w:val="105"/>
                <w:sz w:val="13"/>
                <w:szCs w:val="15"/>
              </w:rPr>
              <w:t>obligaciones</w:t>
            </w:r>
          </w:p>
        </w:tc>
        <w:tc>
          <w:tcPr>
            <w:tcW w:w="1559" w:type="dxa"/>
            <w:tcBorders>
              <w:left w:val="single" w:sz="4" w:space="0" w:color="959595"/>
              <w:right w:val="single" w:sz="4" w:space="0" w:color="959595"/>
            </w:tcBorders>
          </w:tcPr>
          <w:p w14:paraId="70CACC1D"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2F056395"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7CCA1D06"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70C85D79"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51B6D32E"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38601952" w14:textId="77777777" w:rsidTr="00522798">
        <w:trPr>
          <w:trHeight w:val="136"/>
          <w:jc w:val="center"/>
        </w:trPr>
        <w:tc>
          <w:tcPr>
            <w:tcW w:w="3997" w:type="dxa"/>
            <w:tcBorders>
              <w:left w:val="single" w:sz="4" w:space="0" w:color="auto"/>
              <w:right w:val="single" w:sz="4" w:space="0" w:color="959595"/>
            </w:tcBorders>
          </w:tcPr>
          <w:p w14:paraId="6425048E"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Pensiones</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y</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Jubilaciones</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en curso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de pago</w:t>
            </w:r>
          </w:p>
        </w:tc>
        <w:tc>
          <w:tcPr>
            <w:tcW w:w="1559" w:type="dxa"/>
            <w:tcBorders>
              <w:left w:val="single" w:sz="4" w:space="0" w:color="959595"/>
              <w:right w:val="single" w:sz="4" w:space="0" w:color="959595"/>
            </w:tcBorders>
          </w:tcPr>
          <w:p w14:paraId="7B2CA41C" w14:textId="227A7E6D" w:rsidR="00D76066" w:rsidRPr="001045B7" w:rsidRDefault="000917F0"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718,357,579.40</w:t>
            </w:r>
          </w:p>
        </w:tc>
        <w:tc>
          <w:tcPr>
            <w:tcW w:w="1139" w:type="dxa"/>
            <w:vMerge/>
            <w:tcBorders>
              <w:top w:val="nil"/>
              <w:left w:val="single" w:sz="4" w:space="0" w:color="959595"/>
              <w:right w:val="single" w:sz="4" w:space="0" w:color="959595"/>
            </w:tcBorders>
          </w:tcPr>
          <w:p w14:paraId="7AA0AEE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1636B2E" w14:textId="6AECE325"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5E137649" w14:textId="05DF848E"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2BADBFAA" w14:textId="46C16F81"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660B0237" w14:textId="77777777" w:rsidTr="00522798">
        <w:trPr>
          <w:trHeight w:val="136"/>
          <w:jc w:val="center"/>
        </w:trPr>
        <w:tc>
          <w:tcPr>
            <w:tcW w:w="3997" w:type="dxa"/>
            <w:tcBorders>
              <w:left w:val="single" w:sz="4" w:space="0" w:color="auto"/>
              <w:right w:val="single" w:sz="4" w:space="0" w:color="959595"/>
            </w:tcBorders>
          </w:tcPr>
          <w:p w14:paraId="59B81DBA"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actual</w:t>
            </w:r>
          </w:p>
        </w:tc>
        <w:tc>
          <w:tcPr>
            <w:tcW w:w="1559" w:type="dxa"/>
            <w:tcBorders>
              <w:left w:val="single" w:sz="4" w:space="0" w:color="959595"/>
              <w:right w:val="single" w:sz="4" w:space="0" w:color="959595"/>
            </w:tcBorders>
          </w:tcPr>
          <w:p w14:paraId="07595898" w14:textId="1532E2A7" w:rsidR="00D76066" w:rsidRPr="001045B7" w:rsidRDefault="000917F0"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1,387,859,103.35</w:t>
            </w:r>
          </w:p>
        </w:tc>
        <w:tc>
          <w:tcPr>
            <w:tcW w:w="1139" w:type="dxa"/>
            <w:vMerge/>
            <w:tcBorders>
              <w:top w:val="nil"/>
              <w:left w:val="single" w:sz="4" w:space="0" w:color="959595"/>
              <w:right w:val="single" w:sz="4" w:space="0" w:color="959595"/>
            </w:tcBorders>
          </w:tcPr>
          <w:p w14:paraId="09A8618A"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BB2A5F4" w14:textId="455F768B"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F954BAC" w14:textId="658F4BE5"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0D84CAA6" w14:textId="1CD2FF0D"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330D9722" w14:textId="77777777" w:rsidTr="00522798">
        <w:trPr>
          <w:trHeight w:val="81"/>
          <w:jc w:val="center"/>
        </w:trPr>
        <w:tc>
          <w:tcPr>
            <w:tcW w:w="3997" w:type="dxa"/>
            <w:tcBorders>
              <w:left w:val="single" w:sz="4" w:space="0" w:color="auto"/>
              <w:right w:val="single" w:sz="4" w:space="0" w:color="959595"/>
            </w:tcBorders>
          </w:tcPr>
          <w:p w14:paraId="4F60F842"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Generaciones</w:t>
            </w:r>
            <w:r w:rsidRPr="001045B7">
              <w:rPr>
                <w:rFonts w:asciiTheme="minorHAnsi" w:hAnsiTheme="minorHAnsi" w:cstheme="minorHAnsi"/>
                <w:spacing w:val="-6"/>
                <w:w w:val="105"/>
                <w:sz w:val="13"/>
                <w:szCs w:val="15"/>
              </w:rPr>
              <w:t xml:space="preserve"> </w:t>
            </w:r>
            <w:r w:rsidRPr="001045B7">
              <w:rPr>
                <w:rFonts w:asciiTheme="minorHAnsi" w:hAnsiTheme="minorHAnsi" w:cstheme="minorHAnsi"/>
                <w:w w:val="105"/>
                <w:sz w:val="13"/>
                <w:szCs w:val="15"/>
              </w:rPr>
              <w:t>futuras</w:t>
            </w:r>
          </w:p>
        </w:tc>
        <w:tc>
          <w:tcPr>
            <w:tcW w:w="1559" w:type="dxa"/>
            <w:tcBorders>
              <w:left w:val="single" w:sz="4" w:space="0" w:color="959595"/>
              <w:right w:val="single" w:sz="4" w:space="0" w:color="959595"/>
            </w:tcBorders>
          </w:tcPr>
          <w:p w14:paraId="5620D49E" w14:textId="301A6352" w:rsidR="00D76066" w:rsidRPr="001045B7" w:rsidRDefault="000917F0"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1,162,641,824.61</w:t>
            </w:r>
          </w:p>
        </w:tc>
        <w:tc>
          <w:tcPr>
            <w:tcW w:w="1139" w:type="dxa"/>
            <w:vMerge/>
            <w:tcBorders>
              <w:top w:val="nil"/>
              <w:left w:val="single" w:sz="4" w:space="0" w:color="959595"/>
              <w:right w:val="single" w:sz="4" w:space="0" w:color="959595"/>
            </w:tcBorders>
          </w:tcPr>
          <w:p w14:paraId="448986A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6B001CB8" w14:textId="2740DF9F"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7E5AAD6F" w14:textId="72EDC8E5"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7BC7F6B" w14:textId="7A5390FA"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6E01E0CC" w14:textId="77777777" w:rsidTr="00522798">
        <w:trPr>
          <w:trHeight w:val="341"/>
          <w:jc w:val="center"/>
        </w:trPr>
        <w:tc>
          <w:tcPr>
            <w:tcW w:w="3997" w:type="dxa"/>
            <w:tcBorders>
              <w:left w:val="single" w:sz="4" w:space="0" w:color="auto"/>
              <w:right w:val="single" w:sz="4" w:space="0" w:color="959595"/>
            </w:tcBorders>
          </w:tcPr>
          <w:p w14:paraId="2B6BB18B" w14:textId="62278CD6" w:rsidR="00D76066" w:rsidRPr="001045B7" w:rsidRDefault="00D76066" w:rsidP="00860054">
            <w:pPr>
              <w:pStyle w:val="TableParagraph"/>
              <w:spacing w:before="62" w:line="276" w:lineRule="auto"/>
              <w:ind w:left="22" w:right="86" w:hanging="2"/>
              <w:rPr>
                <w:rFonts w:asciiTheme="minorHAnsi" w:hAnsiTheme="minorHAnsi" w:cstheme="minorHAnsi"/>
                <w:b/>
                <w:bCs/>
                <w:sz w:val="13"/>
                <w:szCs w:val="15"/>
              </w:rPr>
            </w:pPr>
            <w:r w:rsidRPr="001045B7">
              <w:rPr>
                <w:rFonts w:asciiTheme="minorHAnsi" w:hAnsiTheme="minorHAnsi" w:cstheme="minorHAnsi"/>
                <w:b/>
                <w:bCs/>
                <w:w w:val="105"/>
                <w:sz w:val="13"/>
                <w:szCs w:val="15"/>
              </w:rPr>
              <w:t>Valor</w:t>
            </w:r>
            <w:r w:rsidRPr="001045B7">
              <w:rPr>
                <w:rFonts w:asciiTheme="minorHAnsi" w:hAnsiTheme="minorHAnsi" w:cstheme="minorHAnsi"/>
                <w:b/>
                <w:bCs/>
                <w:spacing w:val="9"/>
                <w:w w:val="105"/>
                <w:sz w:val="13"/>
                <w:szCs w:val="15"/>
              </w:rPr>
              <w:t xml:space="preserve"> </w:t>
            </w:r>
            <w:r w:rsidRPr="001045B7">
              <w:rPr>
                <w:rFonts w:asciiTheme="minorHAnsi" w:hAnsiTheme="minorHAnsi" w:cstheme="minorHAnsi"/>
                <w:b/>
                <w:bCs/>
                <w:w w:val="105"/>
                <w:sz w:val="13"/>
                <w:szCs w:val="15"/>
              </w:rPr>
              <w:t>presente</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9"/>
                <w:w w:val="105"/>
                <w:sz w:val="13"/>
                <w:szCs w:val="15"/>
              </w:rPr>
              <w:t xml:space="preserve"> </w:t>
            </w:r>
            <w:r w:rsidRPr="001045B7">
              <w:rPr>
                <w:rFonts w:asciiTheme="minorHAnsi" w:hAnsiTheme="minorHAnsi" w:cstheme="minorHAnsi"/>
                <w:b/>
                <w:bCs/>
                <w:w w:val="105"/>
                <w:sz w:val="13"/>
                <w:szCs w:val="15"/>
              </w:rPr>
              <w:t>las</w:t>
            </w:r>
            <w:r w:rsidRPr="001045B7">
              <w:rPr>
                <w:rFonts w:asciiTheme="minorHAnsi" w:hAnsiTheme="minorHAnsi" w:cstheme="minorHAnsi"/>
                <w:b/>
                <w:bCs/>
                <w:spacing w:val="12"/>
                <w:w w:val="105"/>
                <w:sz w:val="13"/>
                <w:szCs w:val="15"/>
              </w:rPr>
              <w:t xml:space="preserve"> </w:t>
            </w:r>
            <w:r w:rsidRPr="001045B7">
              <w:rPr>
                <w:rFonts w:asciiTheme="minorHAnsi" w:hAnsiTheme="minorHAnsi" w:cstheme="minorHAnsi"/>
                <w:b/>
                <w:bCs/>
                <w:w w:val="105"/>
                <w:sz w:val="13"/>
                <w:szCs w:val="15"/>
              </w:rPr>
              <w:t>contribuciones</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asociadas</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a</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los</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sueldos</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lastRenderedPageBreak/>
              <w:t>futuros</w:t>
            </w:r>
            <w:r w:rsidRPr="001045B7">
              <w:rPr>
                <w:rFonts w:asciiTheme="minorHAnsi" w:hAnsiTheme="minorHAnsi" w:cstheme="minorHAnsi"/>
                <w:b/>
                <w:bCs/>
                <w:spacing w:val="12"/>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1"/>
                <w:w w:val="105"/>
                <w:sz w:val="13"/>
                <w:szCs w:val="15"/>
              </w:rPr>
              <w:t xml:space="preserve"> </w:t>
            </w:r>
            <w:r w:rsidRPr="001045B7">
              <w:rPr>
                <w:rFonts w:asciiTheme="minorHAnsi" w:hAnsiTheme="minorHAnsi" w:cstheme="minorHAnsi"/>
                <w:b/>
                <w:bCs/>
                <w:w w:val="105"/>
                <w:sz w:val="13"/>
                <w:szCs w:val="15"/>
              </w:rPr>
              <w:t>cotización</w:t>
            </w:r>
            <w:r w:rsidRPr="001045B7">
              <w:rPr>
                <w:rFonts w:asciiTheme="minorHAnsi" w:hAnsiTheme="minorHAnsi" w:cstheme="minorHAnsi"/>
                <w:b/>
                <w:bCs/>
                <w:spacing w:val="3"/>
                <w:w w:val="105"/>
                <w:sz w:val="13"/>
                <w:szCs w:val="15"/>
              </w:rPr>
              <w:t xml:space="preserve"> </w:t>
            </w:r>
            <w:r w:rsidR="00DD1DA3" w:rsidRPr="001045B7">
              <w:rPr>
                <w:rFonts w:asciiTheme="minorHAnsi" w:hAnsiTheme="minorHAnsi" w:cstheme="minorHAnsi"/>
                <w:b/>
                <w:bCs/>
                <w:w w:val="105"/>
                <w:sz w:val="13"/>
                <w:szCs w:val="15"/>
              </w:rPr>
              <w:t>X</w:t>
            </w:r>
            <w:r w:rsidRPr="001045B7">
              <w:rPr>
                <w:rFonts w:asciiTheme="minorHAnsi" w:hAnsiTheme="minorHAnsi" w:cstheme="minorHAnsi"/>
                <w:b/>
                <w:bCs/>
                <w:w w:val="105"/>
                <w:sz w:val="13"/>
                <w:szCs w:val="15"/>
              </w:rPr>
              <w:t>%</w:t>
            </w:r>
          </w:p>
        </w:tc>
        <w:tc>
          <w:tcPr>
            <w:tcW w:w="1559" w:type="dxa"/>
            <w:tcBorders>
              <w:left w:val="single" w:sz="4" w:space="0" w:color="959595"/>
              <w:right w:val="single" w:sz="4" w:space="0" w:color="959595"/>
            </w:tcBorders>
          </w:tcPr>
          <w:p w14:paraId="5D86F231"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1D0633B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1F9EABD"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3BAF1B8B"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47C076E4"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3188EEE4" w14:textId="77777777" w:rsidTr="00522798">
        <w:trPr>
          <w:trHeight w:val="138"/>
          <w:jc w:val="center"/>
        </w:trPr>
        <w:tc>
          <w:tcPr>
            <w:tcW w:w="3997" w:type="dxa"/>
            <w:tcBorders>
              <w:left w:val="single" w:sz="4" w:space="0" w:color="auto"/>
              <w:right w:val="single" w:sz="4" w:space="0" w:color="959595"/>
            </w:tcBorders>
          </w:tcPr>
          <w:p w14:paraId="5919ECD7" w14:textId="77777777" w:rsidR="00D76066" w:rsidRPr="001045B7" w:rsidRDefault="00D76066" w:rsidP="00860054">
            <w:pPr>
              <w:pStyle w:val="TableParagraph"/>
              <w:spacing w:before="11"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actual</w:t>
            </w:r>
          </w:p>
        </w:tc>
        <w:tc>
          <w:tcPr>
            <w:tcW w:w="1559" w:type="dxa"/>
            <w:tcBorders>
              <w:left w:val="single" w:sz="4" w:space="0" w:color="959595"/>
              <w:right w:val="single" w:sz="4" w:space="0" w:color="959595"/>
            </w:tcBorders>
          </w:tcPr>
          <w:p w14:paraId="529FE253" w14:textId="1083A6D2" w:rsidR="00D76066" w:rsidRPr="001045B7" w:rsidRDefault="00C263E7" w:rsidP="00860054">
            <w:pPr>
              <w:pStyle w:val="TableParagraph"/>
              <w:spacing w:before="11"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176.20%</w:t>
            </w:r>
          </w:p>
        </w:tc>
        <w:tc>
          <w:tcPr>
            <w:tcW w:w="1139" w:type="dxa"/>
            <w:vMerge/>
            <w:tcBorders>
              <w:top w:val="nil"/>
              <w:left w:val="single" w:sz="4" w:space="0" w:color="959595"/>
              <w:right w:val="single" w:sz="4" w:space="0" w:color="959595"/>
            </w:tcBorders>
          </w:tcPr>
          <w:p w14:paraId="5ABA6B68"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CB76C24" w14:textId="2742A6DD" w:rsidR="00D76066" w:rsidRPr="001045B7" w:rsidRDefault="00D76066" w:rsidP="00860054">
            <w:pPr>
              <w:pStyle w:val="TableParagraph"/>
              <w:spacing w:before="11"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63BC887A" w14:textId="7CB783A7" w:rsidR="00D76066" w:rsidRPr="001045B7" w:rsidRDefault="00D76066" w:rsidP="00860054">
            <w:pPr>
              <w:pStyle w:val="TableParagraph"/>
              <w:spacing w:before="11"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52CCA3A2" w14:textId="7ECF95EC" w:rsidR="00D76066" w:rsidRPr="001045B7" w:rsidRDefault="00D76066" w:rsidP="00860054">
            <w:pPr>
              <w:pStyle w:val="TableParagraph"/>
              <w:spacing w:before="11" w:line="276" w:lineRule="auto"/>
              <w:ind w:right="45"/>
              <w:jc w:val="right"/>
              <w:rPr>
                <w:rFonts w:asciiTheme="minorHAnsi" w:hAnsiTheme="minorHAnsi" w:cstheme="minorHAnsi"/>
                <w:sz w:val="13"/>
                <w:szCs w:val="15"/>
              </w:rPr>
            </w:pPr>
          </w:p>
        </w:tc>
      </w:tr>
      <w:tr w:rsidR="00D76066" w:rsidRPr="001045B7" w14:paraId="299D59B9" w14:textId="77777777" w:rsidTr="00522798">
        <w:trPr>
          <w:trHeight w:val="81"/>
          <w:jc w:val="center"/>
        </w:trPr>
        <w:tc>
          <w:tcPr>
            <w:tcW w:w="3997" w:type="dxa"/>
            <w:tcBorders>
              <w:left w:val="single" w:sz="4" w:space="0" w:color="auto"/>
              <w:right w:val="single" w:sz="4" w:space="0" w:color="959595"/>
            </w:tcBorders>
          </w:tcPr>
          <w:p w14:paraId="6D417B57"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Generaciones</w:t>
            </w:r>
            <w:r w:rsidRPr="001045B7">
              <w:rPr>
                <w:rFonts w:asciiTheme="minorHAnsi" w:hAnsiTheme="minorHAnsi" w:cstheme="minorHAnsi"/>
                <w:spacing w:val="-6"/>
                <w:w w:val="105"/>
                <w:sz w:val="13"/>
                <w:szCs w:val="15"/>
              </w:rPr>
              <w:t xml:space="preserve"> </w:t>
            </w:r>
            <w:r w:rsidRPr="001045B7">
              <w:rPr>
                <w:rFonts w:asciiTheme="minorHAnsi" w:hAnsiTheme="minorHAnsi" w:cstheme="minorHAnsi"/>
                <w:w w:val="105"/>
                <w:sz w:val="13"/>
                <w:szCs w:val="15"/>
              </w:rPr>
              <w:t>futuras</w:t>
            </w:r>
          </w:p>
        </w:tc>
        <w:tc>
          <w:tcPr>
            <w:tcW w:w="1559" w:type="dxa"/>
            <w:tcBorders>
              <w:left w:val="single" w:sz="4" w:space="0" w:color="959595"/>
              <w:right w:val="single" w:sz="4" w:space="0" w:color="959595"/>
            </w:tcBorders>
          </w:tcPr>
          <w:p w14:paraId="0425A2A2" w14:textId="24758438" w:rsidR="00D76066" w:rsidRPr="001045B7" w:rsidRDefault="00304B8F"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147.61%</w:t>
            </w:r>
          </w:p>
        </w:tc>
        <w:tc>
          <w:tcPr>
            <w:tcW w:w="1139" w:type="dxa"/>
            <w:vMerge/>
            <w:tcBorders>
              <w:top w:val="nil"/>
              <w:left w:val="single" w:sz="4" w:space="0" w:color="959595"/>
              <w:right w:val="single" w:sz="4" w:space="0" w:color="959595"/>
            </w:tcBorders>
          </w:tcPr>
          <w:p w14:paraId="32DCD53A"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CECEAA2" w14:textId="32A98B2E"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7F23D85" w14:textId="2D15A6B7"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732EC3AC" w14:textId="4308363D"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172A0751" w14:textId="77777777" w:rsidTr="00522798">
        <w:trPr>
          <w:trHeight w:val="205"/>
          <w:jc w:val="center"/>
        </w:trPr>
        <w:tc>
          <w:tcPr>
            <w:tcW w:w="3997" w:type="dxa"/>
            <w:tcBorders>
              <w:left w:val="single" w:sz="4" w:space="0" w:color="auto"/>
              <w:right w:val="single" w:sz="4" w:space="0" w:color="959595"/>
            </w:tcBorders>
          </w:tcPr>
          <w:p w14:paraId="1487E62D"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Valor</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presente</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de</w:t>
            </w:r>
            <w:r w:rsidRPr="001045B7">
              <w:rPr>
                <w:rFonts w:asciiTheme="minorHAnsi" w:hAnsiTheme="minorHAnsi" w:cstheme="minorHAnsi"/>
                <w:b/>
                <w:bCs/>
                <w:spacing w:val="10"/>
                <w:w w:val="105"/>
                <w:sz w:val="13"/>
                <w:szCs w:val="15"/>
              </w:rPr>
              <w:t xml:space="preserve"> </w:t>
            </w:r>
            <w:r w:rsidRPr="001045B7">
              <w:rPr>
                <w:rFonts w:asciiTheme="minorHAnsi" w:hAnsiTheme="minorHAnsi" w:cstheme="minorHAnsi"/>
                <w:b/>
                <w:bCs/>
                <w:w w:val="105"/>
                <w:sz w:val="13"/>
                <w:szCs w:val="15"/>
              </w:rPr>
              <w:t>aportaciones</w:t>
            </w:r>
            <w:r w:rsidRPr="001045B7">
              <w:rPr>
                <w:rFonts w:asciiTheme="minorHAnsi" w:hAnsiTheme="minorHAnsi" w:cstheme="minorHAnsi"/>
                <w:b/>
                <w:bCs/>
                <w:spacing w:val="11"/>
                <w:w w:val="105"/>
                <w:sz w:val="13"/>
                <w:szCs w:val="15"/>
              </w:rPr>
              <w:t xml:space="preserve"> </w:t>
            </w:r>
            <w:r w:rsidRPr="001045B7">
              <w:rPr>
                <w:rFonts w:asciiTheme="minorHAnsi" w:hAnsiTheme="minorHAnsi" w:cstheme="minorHAnsi"/>
                <w:b/>
                <w:bCs/>
                <w:w w:val="105"/>
                <w:sz w:val="13"/>
                <w:szCs w:val="15"/>
              </w:rPr>
              <w:t>futuras</w:t>
            </w:r>
          </w:p>
        </w:tc>
        <w:tc>
          <w:tcPr>
            <w:tcW w:w="1559" w:type="dxa"/>
            <w:tcBorders>
              <w:left w:val="single" w:sz="4" w:space="0" w:color="959595"/>
              <w:right w:val="single" w:sz="4" w:space="0" w:color="959595"/>
            </w:tcBorders>
          </w:tcPr>
          <w:p w14:paraId="3C960944"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62EE430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698E4EC3"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13708C46"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5FC20F74"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0C0CA035" w14:textId="77777777" w:rsidTr="00522798">
        <w:trPr>
          <w:trHeight w:val="136"/>
          <w:jc w:val="center"/>
        </w:trPr>
        <w:tc>
          <w:tcPr>
            <w:tcW w:w="3997" w:type="dxa"/>
            <w:tcBorders>
              <w:left w:val="single" w:sz="4" w:space="0" w:color="auto"/>
              <w:right w:val="single" w:sz="4" w:space="0" w:color="959595"/>
            </w:tcBorders>
          </w:tcPr>
          <w:p w14:paraId="42676307"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actual</w:t>
            </w:r>
          </w:p>
        </w:tc>
        <w:tc>
          <w:tcPr>
            <w:tcW w:w="1559" w:type="dxa"/>
            <w:tcBorders>
              <w:left w:val="single" w:sz="4" w:space="0" w:color="959595"/>
              <w:right w:val="single" w:sz="4" w:space="0" w:color="959595"/>
            </w:tcBorders>
          </w:tcPr>
          <w:p w14:paraId="134ECAA7" w14:textId="27EA2C8D" w:rsidR="00D76066" w:rsidRPr="001045B7" w:rsidRDefault="00253AC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1,387,859,103.35</w:t>
            </w:r>
          </w:p>
        </w:tc>
        <w:tc>
          <w:tcPr>
            <w:tcW w:w="1139" w:type="dxa"/>
            <w:vMerge/>
            <w:tcBorders>
              <w:top w:val="nil"/>
              <w:left w:val="single" w:sz="4" w:space="0" w:color="959595"/>
              <w:right w:val="single" w:sz="4" w:space="0" w:color="959595"/>
            </w:tcBorders>
          </w:tcPr>
          <w:p w14:paraId="50C12A9B"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D8C5028" w14:textId="5494F877"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AEBCBD3" w14:textId="051A149A"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32F72775" w14:textId="2D4D2F3D"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2D994E97" w14:textId="77777777" w:rsidTr="00522798">
        <w:trPr>
          <w:trHeight w:val="136"/>
          <w:jc w:val="center"/>
        </w:trPr>
        <w:tc>
          <w:tcPr>
            <w:tcW w:w="3997" w:type="dxa"/>
            <w:tcBorders>
              <w:left w:val="single" w:sz="4" w:space="0" w:color="auto"/>
              <w:right w:val="single" w:sz="4" w:space="0" w:color="959595"/>
            </w:tcBorders>
          </w:tcPr>
          <w:p w14:paraId="5B6AB5AB"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Generaciones</w:t>
            </w:r>
            <w:r w:rsidRPr="001045B7">
              <w:rPr>
                <w:rFonts w:asciiTheme="minorHAnsi" w:hAnsiTheme="minorHAnsi" w:cstheme="minorHAnsi"/>
                <w:spacing w:val="-6"/>
                <w:w w:val="105"/>
                <w:sz w:val="13"/>
                <w:szCs w:val="15"/>
              </w:rPr>
              <w:t xml:space="preserve"> </w:t>
            </w:r>
            <w:r w:rsidRPr="001045B7">
              <w:rPr>
                <w:rFonts w:asciiTheme="minorHAnsi" w:hAnsiTheme="minorHAnsi" w:cstheme="minorHAnsi"/>
                <w:w w:val="105"/>
                <w:sz w:val="13"/>
                <w:szCs w:val="15"/>
              </w:rPr>
              <w:t>futuras</w:t>
            </w:r>
          </w:p>
        </w:tc>
        <w:tc>
          <w:tcPr>
            <w:tcW w:w="1559" w:type="dxa"/>
            <w:tcBorders>
              <w:left w:val="single" w:sz="4" w:space="0" w:color="959595"/>
              <w:right w:val="single" w:sz="4" w:space="0" w:color="959595"/>
            </w:tcBorders>
          </w:tcPr>
          <w:p w14:paraId="27C8459A" w14:textId="1B870C1E" w:rsidR="00D76066" w:rsidRPr="001045B7" w:rsidRDefault="00253ACB" w:rsidP="00860054">
            <w:pPr>
              <w:pStyle w:val="TableParagraph"/>
              <w:spacing w:before="10" w:line="276" w:lineRule="auto"/>
              <w:ind w:right="41"/>
              <w:jc w:val="right"/>
              <w:rPr>
                <w:rFonts w:asciiTheme="minorHAnsi" w:hAnsiTheme="minorHAnsi" w:cstheme="minorHAnsi"/>
                <w:sz w:val="13"/>
                <w:szCs w:val="15"/>
              </w:rPr>
            </w:pPr>
            <w:r w:rsidRPr="001045B7">
              <w:rPr>
                <w:rFonts w:asciiTheme="minorHAnsi" w:hAnsiTheme="minorHAnsi" w:cstheme="minorHAnsi"/>
                <w:w w:val="105"/>
                <w:sz w:val="13"/>
                <w:szCs w:val="15"/>
                <w:lang w:val="es-MX"/>
              </w:rPr>
              <w:t>1,162,641,824.61</w:t>
            </w:r>
          </w:p>
        </w:tc>
        <w:tc>
          <w:tcPr>
            <w:tcW w:w="1139" w:type="dxa"/>
            <w:vMerge/>
            <w:tcBorders>
              <w:top w:val="nil"/>
              <w:left w:val="single" w:sz="4" w:space="0" w:color="959595"/>
              <w:right w:val="single" w:sz="4" w:space="0" w:color="959595"/>
            </w:tcBorders>
          </w:tcPr>
          <w:p w14:paraId="4922EEA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C2B327F" w14:textId="259B9169"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003D0F34" w14:textId="6E469A55"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17CE1EE" w14:textId="720CC09F"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6A05710B" w14:textId="77777777" w:rsidTr="00522798">
        <w:trPr>
          <w:trHeight w:val="81"/>
          <w:jc w:val="center"/>
        </w:trPr>
        <w:tc>
          <w:tcPr>
            <w:tcW w:w="3997" w:type="dxa"/>
            <w:tcBorders>
              <w:left w:val="single" w:sz="4" w:space="0" w:color="auto"/>
              <w:right w:val="single" w:sz="4" w:space="0" w:color="959595"/>
            </w:tcBorders>
          </w:tcPr>
          <w:p w14:paraId="6D68BFE8"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Otros</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Ingresos</w:t>
            </w:r>
          </w:p>
        </w:tc>
        <w:tc>
          <w:tcPr>
            <w:tcW w:w="1559" w:type="dxa"/>
            <w:tcBorders>
              <w:left w:val="single" w:sz="4" w:space="0" w:color="959595"/>
              <w:right w:val="single" w:sz="4" w:space="0" w:color="959595"/>
            </w:tcBorders>
          </w:tcPr>
          <w:p w14:paraId="66972B4E" w14:textId="0B1A09DC" w:rsidR="00D76066" w:rsidRPr="001045B7" w:rsidRDefault="00D76066" w:rsidP="00860054">
            <w:pPr>
              <w:pStyle w:val="TableParagraph"/>
              <w:spacing w:before="10" w:line="276" w:lineRule="auto"/>
              <w:ind w:right="41"/>
              <w:jc w:val="right"/>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50652B46"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5439F166" w14:textId="5189689B"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4DEEAF25" w14:textId="42159888"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58C1F728" w14:textId="5C263D96" w:rsidR="00D76066" w:rsidRPr="001045B7" w:rsidRDefault="00D76066" w:rsidP="00860054">
            <w:pPr>
              <w:pStyle w:val="TableParagraph"/>
              <w:spacing w:before="10" w:line="276" w:lineRule="auto"/>
              <w:ind w:right="45"/>
              <w:jc w:val="right"/>
              <w:rPr>
                <w:rFonts w:asciiTheme="minorHAnsi" w:hAnsiTheme="minorHAnsi" w:cstheme="minorHAnsi"/>
                <w:sz w:val="13"/>
                <w:szCs w:val="15"/>
              </w:rPr>
            </w:pPr>
          </w:p>
        </w:tc>
      </w:tr>
      <w:tr w:rsidR="00D76066" w:rsidRPr="001045B7" w14:paraId="799C4146" w14:textId="77777777" w:rsidTr="00522798">
        <w:trPr>
          <w:trHeight w:val="205"/>
          <w:jc w:val="center"/>
        </w:trPr>
        <w:tc>
          <w:tcPr>
            <w:tcW w:w="3997" w:type="dxa"/>
            <w:tcBorders>
              <w:left w:val="single" w:sz="4" w:space="0" w:color="auto"/>
              <w:right w:val="single" w:sz="4" w:space="0" w:color="959595"/>
            </w:tcBorders>
          </w:tcPr>
          <w:p w14:paraId="6DCEA1F6" w14:textId="77777777" w:rsidR="00D76066" w:rsidRPr="001045B7" w:rsidRDefault="00D76066" w:rsidP="00860054">
            <w:pPr>
              <w:pStyle w:val="TableParagraph"/>
              <w:spacing w:before="78"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Déficit/superávit</w:t>
            </w:r>
            <w:r w:rsidRPr="001045B7">
              <w:rPr>
                <w:rFonts w:asciiTheme="minorHAnsi" w:hAnsiTheme="minorHAnsi" w:cstheme="minorHAnsi"/>
                <w:b/>
                <w:bCs/>
                <w:spacing w:val="23"/>
                <w:w w:val="105"/>
                <w:sz w:val="13"/>
                <w:szCs w:val="15"/>
              </w:rPr>
              <w:t xml:space="preserve"> </w:t>
            </w:r>
            <w:r w:rsidRPr="001045B7">
              <w:rPr>
                <w:rFonts w:asciiTheme="minorHAnsi" w:hAnsiTheme="minorHAnsi" w:cstheme="minorHAnsi"/>
                <w:b/>
                <w:bCs/>
                <w:w w:val="105"/>
                <w:sz w:val="13"/>
                <w:szCs w:val="15"/>
              </w:rPr>
              <w:t>actuarial</w:t>
            </w:r>
          </w:p>
        </w:tc>
        <w:tc>
          <w:tcPr>
            <w:tcW w:w="1559" w:type="dxa"/>
            <w:tcBorders>
              <w:left w:val="single" w:sz="4" w:space="0" w:color="959595"/>
              <w:right w:val="single" w:sz="4" w:space="0" w:color="959595"/>
            </w:tcBorders>
          </w:tcPr>
          <w:p w14:paraId="2B285AF2"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4635C410"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7AF84F6"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438CA177"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051B32BE"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42C1C2AC" w14:textId="77777777" w:rsidTr="00522798">
        <w:trPr>
          <w:trHeight w:val="136"/>
          <w:jc w:val="center"/>
        </w:trPr>
        <w:tc>
          <w:tcPr>
            <w:tcW w:w="3997" w:type="dxa"/>
            <w:tcBorders>
              <w:left w:val="single" w:sz="4" w:space="0" w:color="auto"/>
              <w:right w:val="single" w:sz="4" w:space="0" w:color="959595"/>
            </w:tcBorders>
          </w:tcPr>
          <w:p w14:paraId="7A810A25"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Generación</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actual</w:t>
            </w:r>
          </w:p>
        </w:tc>
        <w:tc>
          <w:tcPr>
            <w:tcW w:w="1559" w:type="dxa"/>
            <w:tcBorders>
              <w:left w:val="single" w:sz="4" w:space="0" w:color="959595"/>
              <w:right w:val="single" w:sz="4" w:space="0" w:color="959595"/>
            </w:tcBorders>
          </w:tcPr>
          <w:p w14:paraId="436F270D" w14:textId="33A70D47" w:rsidR="00D76066" w:rsidRPr="001045B7" w:rsidRDefault="00253ACB" w:rsidP="00860054">
            <w:pPr>
              <w:pStyle w:val="TableParagraph"/>
              <w:spacing w:before="10" w:line="276" w:lineRule="auto"/>
              <w:ind w:right="13"/>
              <w:jc w:val="right"/>
              <w:rPr>
                <w:rFonts w:asciiTheme="minorHAnsi" w:hAnsiTheme="minorHAnsi" w:cstheme="minorHAnsi"/>
                <w:sz w:val="13"/>
                <w:szCs w:val="15"/>
              </w:rPr>
            </w:pPr>
            <w:r w:rsidRPr="001045B7">
              <w:rPr>
                <w:rFonts w:asciiTheme="minorHAnsi" w:hAnsiTheme="minorHAnsi" w:cstheme="minorHAnsi"/>
                <w:w w:val="105"/>
                <w:sz w:val="13"/>
                <w:szCs w:val="15"/>
                <w:lang w:val="es-MX"/>
              </w:rPr>
              <w:t>1,387,859,103.35</w:t>
            </w:r>
          </w:p>
        </w:tc>
        <w:tc>
          <w:tcPr>
            <w:tcW w:w="1139" w:type="dxa"/>
            <w:vMerge/>
            <w:tcBorders>
              <w:top w:val="nil"/>
              <w:left w:val="single" w:sz="4" w:space="0" w:color="959595"/>
              <w:right w:val="single" w:sz="4" w:space="0" w:color="959595"/>
            </w:tcBorders>
          </w:tcPr>
          <w:p w14:paraId="1A39F012"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BBBADEB" w14:textId="6C7E3709" w:rsidR="00D76066" w:rsidRPr="001045B7" w:rsidRDefault="00D76066" w:rsidP="00860054">
            <w:pPr>
              <w:pStyle w:val="TableParagraph"/>
              <w:spacing w:before="10" w:line="276" w:lineRule="auto"/>
              <w:ind w:right="14"/>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2A0BDFDF" w14:textId="60C7CFDD" w:rsidR="00D76066" w:rsidRPr="001045B7" w:rsidRDefault="00D76066" w:rsidP="00860054">
            <w:pPr>
              <w:pStyle w:val="TableParagraph"/>
              <w:spacing w:before="10" w:line="276" w:lineRule="auto"/>
              <w:ind w:right="15"/>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24983D23" w14:textId="1F7EDBED" w:rsidR="00D76066" w:rsidRPr="001045B7" w:rsidRDefault="00D76066" w:rsidP="00860054">
            <w:pPr>
              <w:pStyle w:val="TableParagraph"/>
              <w:spacing w:before="10" w:line="276" w:lineRule="auto"/>
              <w:ind w:right="17"/>
              <w:jc w:val="right"/>
              <w:rPr>
                <w:rFonts w:asciiTheme="minorHAnsi" w:hAnsiTheme="minorHAnsi" w:cstheme="minorHAnsi"/>
                <w:sz w:val="13"/>
                <w:szCs w:val="15"/>
              </w:rPr>
            </w:pPr>
          </w:p>
        </w:tc>
      </w:tr>
      <w:tr w:rsidR="00D76066" w:rsidRPr="001045B7" w14:paraId="1B2D5339" w14:textId="77777777" w:rsidTr="006B6C08">
        <w:trPr>
          <w:trHeight w:val="85"/>
          <w:jc w:val="center"/>
        </w:trPr>
        <w:tc>
          <w:tcPr>
            <w:tcW w:w="3997" w:type="dxa"/>
            <w:tcBorders>
              <w:left w:val="single" w:sz="4" w:space="0" w:color="auto"/>
              <w:right w:val="single" w:sz="4" w:space="0" w:color="959595"/>
            </w:tcBorders>
          </w:tcPr>
          <w:p w14:paraId="1E562604"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Generaciones</w:t>
            </w:r>
            <w:r w:rsidRPr="001045B7">
              <w:rPr>
                <w:rFonts w:asciiTheme="minorHAnsi" w:hAnsiTheme="minorHAnsi" w:cstheme="minorHAnsi"/>
                <w:spacing w:val="-6"/>
                <w:w w:val="105"/>
                <w:sz w:val="13"/>
                <w:szCs w:val="15"/>
              </w:rPr>
              <w:t xml:space="preserve"> </w:t>
            </w:r>
            <w:r w:rsidRPr="001045B7">
              <w:rPr>
                <w:rFonts w:asciiTheme="minorHAnsi" w:hAnsiTheme="minorHAnsi" w:cstheme="minorHAnsi"/>
                <w:w w:val="105"/>
                <w:sz w:val="13"/>
                <w:szCs w:val="15"/>
              </w:rPr>
              <w:t>futuras</w:t>
            </w:r>
          </w:p>
        </w:tc>
        <w:tc>
          <w:tcPr>
            <w:tcW w:w="1559" w:type="dxa"/>
            <w:tcBorders>
              <w:left w:val="single" w:sz="4" w:space="0" w:color="959595"/>
              <w:right w:val="single" w:sz="4" w:space="0" w:color="959595"/>
            </w:tcBorders>
          </w:tcPr>
          <w:p w14:paraId="69FD1FA6" w14:textId="64FDA094" w:rsidR="00D76066" w:rsidRPr="001045B7" w:rsidRDefault="00253ACB" w:rsidP="00860054">
            <w:pPr>
              <w:pStyle w:val="TableParagraph"/>
              <w:spacing w:before="10" w:line="276" w:lineRule="auto"/>
              <w:ind w:right="13"/>
              <w:jc w:val="right"/>
              <w:rPr>
                <w:rFonts w:asciiTheme="minorHAnsi" w:hAnsiTheme="minorHAnsi" w:cstheme="minorHAnsi"/>
                <w:sz w:val="13"/>
                <w:szCs w:val="15"/>
              </w:rPr>
            </w:pPr>
            <w:r w:rsidRPr="001045B7">
              <w:rPr>
                <w:rFonts w:asciiTheme="minorHAnsi" w:hAnsiTheme="minorHAnsi" w:cstheme="minorHAnsi"/>
                <w:w w:val="105"/>
                <w:sz w:val="13"/>
                <w:szCs w:val="15"/>
                <w:lang w:val="es-MX"/>
              </w:rPr>
              <w:t>1,162,641,824.61</w:t>
            </w:r>
          </w:p>
        </w:tc>
        <w:tc>
          <w:tcPr>
            <w:tcW w:w="1139" w:type="dxa"/>
            <w:vMerge/>
            <w:tcBorders>
              <w:top w:val="nil"/>
              <w:left w:val="single" w:sz="4" w:space="0" w:color="959595"/>
              <w:right w:val="single" w:sz="4" w:space="0" w:color="959595"/>
            </w:tcBorders>
          </w:tcPr>
          <w:p w14:paraId="2EB405FD"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B5676DA" w14:textId="1E1DC357" w:rsidR="00D76066" w:rsidRPr="001045B7" w:rsidRDefault="00D76066"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4F1A6F06" w14:textId="7556CDB0" w:rsidR="00D76066" w:rsidRPr="001045B7" w:rsidRDefault="00D76066"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4220D40" w14:textId="411247BC" w:rsidR="00D76066" w:rsidRPr="001045B7" w:rsidRDefault="00D76066" w:rsidP="00860054">
            <w:pPr>
              <w:pStyle w:val="TableParagraph"/>
              <w:spacing w:before="10" w:line="276" w:lineRule="auto"/>
              <w:ind w:right="17"/>
              <w:jc w:val="right"/>
              <w:rPr>
                <w:rFonts w:asciiTheme="minorHAnsi" w:hAnsiTheme="minorHAnsi" w:cstheme="minorHAnsi"/>
                <w:sz w:val="13"/>
                <w:szCs w:val="15"/>
              </w:rPr>
            </w:pPr>
          </w:p>
        </w:tc>
      </w:tr>
      <w:tr w:rsidR="006B6C08" w:rsidRPr="001045B7" w14:paraId="747185EC" w14:textId="77777777" w:rsidTr="006B6C08">
        <w:trPr>
          <w:trHeight w:val="85"/>
          <w:jc w:val="center"/>
        </w:trPr>
        <w:tc>
          <w:tcPr>
            <w:tcW w:w="3997" w:type="dxa"/>
            <w:tcBorders>
              <w:left w:val="single" w:sz="4" w:space="0" w:color="auto"/>
              <w:right w:val="single" w:sz="4" w:space="0" w:color="959595"/>
            </w:tcBorders>
          </w:tcPr>
          <w:p w14:paraId="44B8A71C" w14:textId="43A6FB77" w:rsidR="006B6C08" w:rsidRPr="001045B7" w:rsidRDefault="006B6C08" w:rsidP="00860054">
            <w:pPr>
              <w:pStyle w:val="TableParagraph"/>
              <w:spacing w:before="10" w:line="276" w:lineRule="auto"/>
              <w:ind w:left="19"/>
              <w:rPr>
                <w:rFonts w:asciiTheme="minorHAnsi" w:hAnsiTheme="minorHAnsi" w:cstheme="minorHAnsi"/>
                <w:b/>
                <w:bCs/>
                <w:w w:val="105"/>
                <w:sz w:val="13"/>
                <w:szCs w:val="15"/>
              </w:rPr>
            </w:pPr>
            <w:r w:rsidRPr="001045B7">
              <w:rPr>
                <w:rFonts w:asciiTheme="minorHAnsi" w:hAnsiTheme="minorHAnsi" w:cstheme="minorHAnsi"/>
                <w:b/>
                <w:bCs/>
                <w:w w:val="105"/>
                <w:sz w:val="13"/>
                <w:szCs w:val="15"/>
              </w:rPr>
              <w:t>Periodo de suficiencia</w:t>
            </w:r>
          </w:p>
        </w:tc>
        <w:tc>
          <w:tcPr>
            <w:tcW w:w="1559" w:type="dxa"/>
            <w:tcBorders>
              <w:left w:val="single" w:sz="4" w:space="0" w:color="959595"/>
              <w:right w:val="single" w:sz="4" w:space="0" w:color="959595"/>
            </w:tcBorders>
          </w:tcPr>
          <w:p w14:paraId="7AEFA613" w14:textId="03BFD639" w:rsidR="006B6C08" w:rsidRPr="001045B7" w:rsidRDefault="006B6C08" w:rsidP="006B6C08">
            <w:pPr>
              <w:pStyle w:val="TableParagraph"/>
              <w:spacing w:before="10" w:line="276" w:lineRule="auto"/>
              <w:ind w:right="13"/>
              <w:jc w:val="center"/>
              <w:rPr>
                <w:rFonts w:asciiTheme="minorHAnsi" w:hAnsiTheme="minorHAnsi" w:cstheme="minorHAnsi"/>
                <w:w w:val="105"/>
                <w:sz w:val="13"/>
                <w:szCs w:val="15"/>
                <w:lang w:val="es-MX"/>
              </w:rPr>
            </w:pPr>
            <w:r w:rsidRPr="001045B7">
              <w:rPr>
                <w:rFonts w:asciiTheme="minorHAnsi" w:hAnsiTheme="minorHAnsi" w:cstheme="minorHAnsi"/>
                <w:w w:val="105"/>
                <w:sz w:val="13"/>
                <w:szCs w:val="15"/>
                <w:lang w:val="es-MX"/>
              </w:rPr>
              <w:t>14.64</w:t>
            </w:r>
          </w:p>
        </w:tc>
        <w:tc>
          <w:tcPr>
            <w:tcW w:w="1139" w:type="dxa"/>
            <w:vMerge/>
            <w:tcBorders>
              <w:top w:val="nil"/>
              <w:left w:val="single" w:sz="4" w:space="0" w:color="959595"/>
              <w:right w:val="single" w:sz="4" w:space="0" w:color="959595"/>
            </w:tcBorders>
          </w:tcPr>
          <w:p w14:paraId="56C31CFD" w14:textId="77777777" w:rsidR="006B6C08" w:rsidRPr="001045B7" w:rsidRDefault="006B6C08"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163BF9F1" w14:textId="77777777" w:rsidR="006B6C08" w:rsidRPr="001045B7" w:rsidRDefault="006B6C08" w:rsidP="00860054">
            <w:pPr>
              <w:pStyle w:val="TableParagraph"/>
              <w:spacing w:before="10" w:line="276" w:lineRule="auto"/>
              <w:ind w:right="43"/>
              <w:jc w:val="right"/>
              <w:rPr>
                <w:rFonts w:asciiTheme="minorHAnsi" w:hAnsiTheme="minorHAnsi" w:cstheme="minorHAnsi"/>
                <w:sz w:val="13"/>
                <w:szCs w:val="15"/>
              </w:rPr>
            </w:pPr>
          </w:p>
        </w:tc>
        <w:tc>
          <w:tcPr>
            <w:tcW w:w="1559" w:type="dxa"/>
            <w:tcBorders>
              <w:left w:val="single" w:sz="4" w:space="0" w:color="959595"/>
              <w:right w:val="single" w:sz="4" w:space="0" w:color="959595"/>
            </w:tcBorders>
          </w:tcPr>
          <w:p w14:paraId="15F058D6" w14:textId="77777777" w:rsidR="006B6C08" w:rsidRPr="001045B7" w:rsidRDefault="006B6C08" w:rsidP="00860054">
            <w:pPr>
              <w:pStyle w:val="TableParagraph"/>
              <w:spacing w:before="10" w:line="276" w:lineRule="auto"/>
              <w:ind w:right="44"/>
              <w:jc w:val="right"/>
              <w:rPr>
                <w:rFonts w:asciiTheme="minorHAnsi" w:hAnsiTheme="minorHAnsi" w:cstheme="minorHAnsi"/>
                <w:sz w:val="13"/>
                <w:szCs w:val="15"/>
              </w:rPr>
            </w:pPr>
          </w:p>
        </w:tc>
        <w:tc>
          <w:tcPr>
            <w:tcW w:w="1413" w:type="dxa"/>
            <w:tcBorders>
              <w:left w:val="single" w:sz="4" w:space="0" w:color="959595"/>
              <w:right w:val="single" w:sz="4" w:space="0" w:color="959595"/>
            </w:tcBorders>
          </w:tcPr>
          <w:p w14:paraId="408CCBC1" w14:textId="77777777" w:rsidR="006B6C08" w:rsidRPr="001045B7" w:rsidRDefault="006B6C08" w:rsidP="00860054">
            <w:pPr>
              <w:pStyle w:val="TableParagraph"/>
              <w:spacing w:before="10" w:line="276" w:lineRule="auto"/>
              <w:ind w:right="17"/>
              <w:jc w:val="right"/>
              <w:rPr>
                <w:rFonts w:asciiTheme="minorHAnsi" w:hAnsiTheme="minorHAnsi" w:cstheme="minorHAnsi"/>
                <w:sz w:val="13"/>
                <w:szCs w:val="15"/>
              </w:rPr>
            </w:pPr>
          </w:p>
        </w:tc>
      </w:tr>
      <w:tr w:rsidR="00D76066" w:rsidRPr="001045B7" w14:paraId="462D6745" w14:textId="77777777" w:rsidTr="00522798">
        <w:trPr>
          <w:trHeight w:val="136"/>
          <w:jc w:val="center"/>
        </w:trPr>
        <w:tc>
          <w:tcPr>
            <w:tcW w:w="3997" w:type="dxa"/>
            <w:tcBorders>
              <w:left w:val="single" w:sz="4" w:space="0" w:color="auto"/>
              <w:right w:val="single" w:sz="4" w:space="0" w:color="959595"/>
            </w:tcBorders>
          </w:tcPr>
          <w:p w14:paraId="0778CC85"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Año</w:t>
            </w:r>
            <w:r w:rsidRPr="001045B7">
              <w:rPr>
                <w:rFonts w:asciiTheme="minorHAnsi" w:hAnsiTheme="minorHAnsi" w:cstheme="minorHAnsi"/>
                <w:spacing w:val="6"/>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7"/>
                <w:w w:val="105"/>
                <w:sz w:val="13"/>
                <w:szCs w:val="15"/>
              </w:rPr>
              <w:t xml:space="preserve"> </w:t>
            </w:r>
            <w:r w:rsidRPr="001045B7">
              <w:rPr>
                <w:rFonts w:asciiTheme="minorHAnsi" w:hAnsiTheme="minorHAnsi" w:cstheme="minorHAnsi"/>
                <w:w w:val="105"/>
                <w:sz w:val="13"/>
                <w:szCs w:val="15"/>
              </w:rPr>
              <w:t>descapitalización</w:t>
            </w:r>
          </w:p>
        </w:tc>
        <w:tc>
          <w:tcPr>
            <w:tcW w:w="1559" w:type="dxa"/>
            <w:tcBorders>
              <w:left w:val="single" w:sz="4" w:space="0" w:color="959595"/>
              <w:right w:val="single" w:sz="4" w:space="0" w:color="959595"/>
            </w:tcBorders>
          </w:tcPr>
          <w:p w14:paraId="404AB134" w14:textId="2D24987E" w:rsidR="00D76066" w:rsidRPr="001045B7" w:rsidRDefault="00DC45C1" w:rsidP="00860054">
            <w:pPr>
              <w:pStyle w:val="TableParagraph"/>
              <w:spacing w:before="10" w:line="276" w:lineRule="auto"/>
              <w:ind w:left="58" w:right="33"/>
              <w:jc w:val="center"/>
              <w:rPr>
                <w:rFonts w:asciiTheme="minorHAnsi" w:hAnsiTheme="minorHAnsi" w:cstheme="minorHAnsi"/>
                <w:sz w:val="13"/>
                <w:szCs w:val="15"/>
              </w:rPr>
            </w:pPr>
            <w:r w:rsidRPr="001045B7">
              <w:rPr>
                <w:rFonts w:asciiTheme="minorHAnsi" w:hAnsiTheme="minorHAnsi" w:cstheme="minorHAnsi"/>
                <w:w w:val="105"/>
                <w:sz w:val="13"/>
                <w:szCs w:val="15"/>
                <w:lang w:val="es-MX"/>
              </w:rPr>
              <w:t>2053</w:t>
            </w:r>
          </w:p>
        </w:tc>
        <w:tc>
          <w:tcPr>
            <w:tcW w:w="1139" w:type="dxa"/>
            <w:vMerge/>
            <w:tcBorders>
              <w:top w:val="nil"/>
              <w:left w:val="single" w:sz="4" w:space="0" w:color="959595"/>
              <w:right w:val="single" w:sz="4" w:space="0" w:color="959595"/>
            </w:tcBorders>
          </w:tcPr>
          <w:p w14:paraId="0C7CFC26"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31E1F2A1" w14:textId="27536E73" w:rsidR="00D76066" w:rsidRPr="001045B7" w:rsidRDefault="00D76066" w:rsidP="00860054">
            <w:pPr>
              <w:pStyle w:val="TableParagraph"/>
              <w:spacing w:before="10" w:line="276" w:lineRule="auto"/>
              <w:ind w:left="44" w:right="20"/>
              <w:jc w:val="center"/>
              <w:rPr>
                <w:rFonts w:asciiTheme="minorHAnsi" w:hAnsiTheme="minorHAnsi" w:cstheme="minorHAnsi"/>
                <w:sz w:val="13"/>
                <w:szCs w:val="15"/>
              </w:rPr>
            </w:pPr>
          </w:p>
        </w:tc>
        <w:tc>
          <w:tcPr>
            <w:tcW w:w="1559" w:type="dxa"/>
            <w:tcBorders>
              <w:left w:val="single" w:sz="4" w:space="0" w:color="959595"/>
              <w:right w:val="single" w:sz="4" w:space="0" w:color="959595"/>
            </w:tcBorders>
          </w:tcPr>
          <w:p w14:paraId="4425E680" w14:textId="60653FF4" w:rsidR="00D76066" w:rsidRPr="001045B7" w:rsidRDefault="00D76066" w:rsidP="00860054">
            <w:pPr>
              <w:pStyle w:val="TableParagraph"/>
              <w:spacing w:before="10" w:line="276" w:lineRule="auto"/>
              <w:ind w:left="27" w:right="5"/>
              <w:jc w:val="center"/>
              <w:rPr>
                <w:rFonts w:asciiTheme="minorHAnsi" w:hAnsiTheme="minorHAnsi" w:cstheme="minorHAnsi"/>
                <w:sz w:val="13"/>
                <w:szCs w:val="15"/>
              </w:rPr>
            </w:pPr>
          </w:p>
        </w:tc>
        <w:tc>
          <w:tcPr>
            <w:tcW w:w="1413" w:type="dxa"/>
            <w:tcBorders>
              <w:left w:val="single" w:sz="4" w:space="0" w:color="959595"/>
              <w:right w:val="single" w:sz="4" w:space="0" w:color="959595"/>
            </w:tcBorders>
          </w:tcPr>
          <w:p w14:paraId="7D08986F" w14:textId="76DB9161" w:rsidR="00D76066" w:rsidRPr="001045B7" w:rsidRDefault="00D76066" w:rsidP="00860054">
            <w:pPr>
              <w:pStyle w:val="TableParagraph"/>
              <w:spacing w:before="10" w:line="276" w:lineRule="auto"/>
              <w:ind w:left="84" w:right="66"/>
              <w:jc w:val="center"/>
              <w:rPr>
                <w:rFonts w:asciiTheme="minorHAnsi" w:hAnsiTheme="minorHAnsi" w:cstheme="minorHAnsi"/>
                <w:sz w:val="13"/>
                <w:szCs w:val="15"/>
              </w:rPr>
            </w:pPr>
          </w:p>
        </w:tc>
      </w:tr>
      <w:tr w:rsidR="00D76066" w:rsidRPr="001045B7" w14:paraId="3ADD114A" w14:textId="77777777" w:rsidTr="00522798">
        <w:trPr>
          <w:trHeight w:val="205"/>
          <w:jc w:val="center"/>
        </w:trPr>
        <w:tc>
          <w:tcPr>
            <w:tcW w:w="3997" w:type="dxa"/>
            <w:tcBorders>
              <w:left w:val="single" w:sz="4" w:space="0" w:color="auto"/>
              <w:right w:val="single" w:sz="4" w:space="0" w:color="959595"/>
            </w:tcBorders>
          </w:tcPr>
          <w:p w14:paraId="56DFA8B8" w14:textId="77777777" w:rsidR="00D76066" w:rsidRPr="001045B7" w:rsidRDefault="00D76066" w:rsidP="00860054">
            <w:pPr>
              <w:pStyle w:val="TableParagraph"/>
              <w:spacing w:before="10"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Tasa</w:t>
            </w:r>
            <w:r w:rsidRPr="001045B7">
              <w:rPr>
                <w:rFonts w:asciiTheme="minorHAnsi" w:hAnsiTheme="minorHAnsi" w:cstheme="minorHAnsi"/>
                <w:spacing w:val="-4"/>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rendimiento</w:t>
            </w:r>
          </w:p>
        </w:tc>
        <w:tc>
          <w:tcPr>
            <w:tcW w:w="1559" w:type="dxa"/>
            <w:tcBorders>
              <w:left w:val="single" w:sz="4" w:space="0" w:color="959595"/>
              <w:right w:val="single" w:sz="4" w:space="0" w:color="959595"/>
            </w:tcBorders>
          </w:tcPr>
          <w:p w14:paraId="5D586ED6" w14:textId="54A189FE" w:rsidR="00D76066" w:rsidRPr="001045B7" w:rsidRDefault="00DC45C1" w:rsidP="00860054">
            <w:pPr>
              <w:pStyle w:val="TableParagraph"/>
              <w:spacing w:before="10" w:line="276" w:lineRule="auto"/>
              <w:ind w:left="58" w:right="32"/>
              <w:jc w:val="center"/>
              <w:rPr>
                <w:rFonts w:asciiTheme="minorHAnsi" w:hAnsiTheme="minorHAnsi" w:cstheme="minorHAnsi"/>
                <w:sz w:val="13"/>
                <w:szCs w:val="15"/>
              </w:rPr>
            </w:pPr>
            <w:r w:rsidRPr="001045B7">
              <w:rPr>
                <w:rFonts w:asciiTheme="minorHAnsi" w:hAnsiTheme="minorHAnsi" w:cstheme="minorHAnsi"/>
                <w:w w:val="105"/>
                <w:sz w:val="13"/>
                <w:szCs w:val="15"/>
                <w:lang w:val="es-MX"/>
              </w:rPr>
              <w:t>9.56%</w:t>
            </w:r>
          </w:p>
        </w:tc>
        <w:tc>
          <w:tcPr>
            <w:tcW w:w="1139" w:type="dxa"/>
            <w:vMerge/>
            <w:tcBorders>
              <w:top w:val="nil"/>
              <w:left w:val="single" w:sz="4" w:space="0" w:color="959595"/>
              <w:right w:val="single" w:sz="4" w:space="0" w:color="959595"/>
            </w:tcBorders>
          </w:tcPr>
          <w:p w14:paraId="24A0F956"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4E8A19CE" w14:textId="7AE0B037" w:rsidR="00D76066" w:rsidRPr="001045B7" w:rsidRDefault="00D76066" w:rsidP="00860054">
            <w:pPr>
              <w:pStyle w:val="TableParagraph"/>
              <w:spacing w:before="10" w:line="276" w:lineRule="auto"/>
              <w:ind w:left="44" w:right="19"/>
              <w:jc w:val="center"/>
              <w:rPr>
                <w:rFonts w:asciiTheme="minorHAnsi" w:hAnsiTheme="minorHAnsi" w:cstheme="minorHAnsi"/>
                <w:sz w:val="13"/>
                <w:szCs w:val="15"/>
              </w:rPr>
            </w:pPr>
          </w:p>
        </w:tc>
        <w:tc>
          <w:tcPr>
            <w:tcW w:w="1559" w:type="dxa"/>
            <w:tcBorders>
              <w:left w:val="single" w:sz="4" w:space="0" w:color="959595"/>
              <w:right w:val="single" w:sz="4" w:space="0" w:color="959595"/>
            </w:tcBorders>
          </w:tcPr>
          <w:p w14:paraId="230CCB34" w14:textId="753B3156" w:rsidR="00D76066" w:rsidRPr="001045B7" w:rsidRDefault="00D76066" w:rsidP="00860054">
            <w:pPr>
              <w:pStyle w:val="TableParagraph"/>
              <w:spacing w:before="10" w:line="276" w:lineRule="auto"/>
              <w:ind w:left="27" w:right="4"/>
              <w:jc w:val="center"/>
              <w:rPr>
                <w:rFonts w:asciiTheme="minorHAnsi" w:hAnsiTheme="minorHAnsi" w:cstheme="minorHAnsi"/>
                <w:sz w:val="13"/>
                <w:szCs w:val="15"/>
              </w:rPr>
            </w:pPr>
          </w:p>
        </w:tc>
        <w:tc>
          <w:tcPr>
            <w:tcW w:w="1413" w:type="dxa"/>
            <w:tcBorders>
              <w:left w:val="single" w:sz="4" w:space="0" w:color="959595"/>
              <w:right w:val="single" w:sz="4" w:space="0" w:color="959595"/>
            </w:tcBorders>
          </w:tcPr>
          <w:p w14:paraId="3CDC5BCA" w14:textId="46C10074" w:rsidR="00D76066" w:rsidRPr="001045B7" w:rsidRDefault="00D76066" w:rsidP="00860054">
            <w:pPr>
              <w:pStyle w:val="TableParagraph"/>
              <w:spacing w:before="10" w:line="276" w:lineRule="auto"/>
              <w:ind w:left="85" w:right="66"/>
              <w:jc w:val="center"/>
              <w:rPr>
                <w:rFonts w:asciiTheme="minorHAnsi" w:hAnsiTheme="minorHAnsi" w:cstheme="minorHAnsi"/>
                <w:sz w:val="13"/>
                <w:szCs w:val="15"/>
              </w:rPr>
            </w:pPr>
          </w:p>
        </w:tc>
      </w:tr>
      <w:tr w:rsidR="00D76066" w:rsidRPr="001045B7" w14:paraId="798785CE" w14:textId="77777777" w:rsidTr="00522798">
        <w:trPr>
          <w:trHeight w:val="205"/>
          <w:jc w:val="center"/>
        </w:trPr>
        <w:tc>
          <w:tcPr>
            <w:tcW w:w="3997" w:type="dxa"/>
            <w:tcBorders>
              <w:left w:val="single" w:sz="4" w:space="0" w:color="auto"/>
              <w:right w:val="single" w:sz="4" w:space="0" w:color="959595"/>
            </w:tcBorders>
          </w:tcPr>
          <w:p w14:paraId="4DED10D5" w14:textId="77777777" w:rsidR="00D76066" w:rsidRPr="001045B7" w:rsidRDefault="00D76066" w:rsidP="00860054">
            <w:pPr>
              <w:pStyle w:val="TableParagraph"/>
              <w:spacing w:before="79" w:line="276" w:lineRule="auto"/>
              <w:ind w:left="21"/>
              <w:rPr>
                <w:rFonts w:asciiTheme="minorHAnsi" w:hAnsiTheme="minorHAnsi" w:cstheme="minorHAnsi"/>
                <w:b/>
                <w:bCs/>
                <w:sz w:val="13"/>
                <w:szCs w:val="15"/>
              </w:rPr>
            </w:pPr>
            <w:r w:rsidRPr="001045B7">
              <w:rPr>
                <w:rFonts w:asciiTheme="minorHAnsi" w:hAnsiTheme="minorHAnsi" w:cstheme="minorHAnsi"/>
                <w:b/>
                <w:bCs/>
                <w:w w:val="105"/>
                <w:sz w:val="13"/>
                <w:szCs w:val="15"/>
              </w:rPr>
              <w:t>Estudio</w:t>
            </w:r>
            <w:r w:rsidRPr="001045B7">
              <w:rPr>
                <w:rFonts w:asciiTheme="minorHAnsi" w:hAnsiTheme="minorHAnsi" w:cstheme="minorHAnsi"/>
                <w:b/>
                <w:bCs/>
                <w:spacing w:val="13"/>
                <w:w w:val="105"/>
                <w:sz w:val="13"/>
                <w:szCs w:val="15"/>
              </w:rPr>
              <w:t xml:space="preserve"> </w:t>
            </w:r>
            <w:r w:rsidRPr="001045B7">
              <w:rPr>
                <w:rFonts w:asciiTheme="minorHAnsi" w:hAnsiTheme="minorHAnsi" w:cstheme="minorHAnsi"/>
                <w:b/>
                <w:bCs/>
                <w:w w:val="105"/>
                <w:sz w:val="13"/>
                <w:szCs w:val="15"/>
              </w:rPr>
              <w:t>actuarial</w:t>
            </w:r>
          </w:p>
        </w:tc>
        <w:tc>
          <w:tcPr>
            <w:tcW w:w="1559" w:type="dxa"/>
            <w:tcBorders>
              <w:left w:val="single" w:sz="4" w:space="0" w:color="959595"/>
              <w:right w:val="single" w:sz="4" w:space="0" w:color="959595"/>
            </w:tcBorders>
          </w:tcPr>
          <w:p w14:paraId="1AABAA20"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139" w:type="dxa"/>
            <w:vMerge/>
            <w:tcBorders>
              <w:top w:val="nil"/>
              <w:left w:val="single" w:sz="4" w:space="0" w:color="959595"/>
              <w:right w:val="single" w:sz="4" w:space="0" w:color="959595"/>
            </w:tcBorders>
          </w:tcPr>
          <w:p w14:paraId="46AA52EF"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0F3C7557"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559" w:type="dxa"/>
            <w:tcBorders>
              <w:left w:val="single" w:sz="4" w:space="0" w:color="959595"/>
              <w:right w:val="single" w:sz="4" w:space="0" w:color="959595"/>
            </w:tcBorders>
          </w:tcPr>
          <w:p w14:paraId="1D6E4E45" w14:textId="77777777" w:rsidR="00D76066" w:rsidRPr="001045B7" w:rsidRDefault="00D76066" w:rsidP="00860054">
            <w:pPr>
              <w:pStyle w:val="TableParagraph"/>
              <w:spacing w:line="276" w:lineRule="auto"/>
              <w:rPr>
                <w:rFonts w:asciiTheme="minorHAnsi" w:hAnsiTheme="minorHAnsi" w:cstheme="minorHAnsi"/>
                <w:sz w:val="13"/>
                <w:szCs w:val="15"/>
              </w:rPr>
            </w:pPr>
          </w:p>
        </w:tc>
        <w:tc>
          <w:tcPr>
            <w:tcW w:w="1413" w:type="dxa"/>
            <w:tcBorders>
              <w:left w:val="single" w:sz="4" w:space="0" w:color="959595"/>
              <w:right w:val="single" w:sz="4" w:space="0" w:color="959595"/>
            </w:tcBorders>
          </w:tcPr>
          <w:p w14:paraId="2BBD615E" w14:textId="77777777" w:rsidR="00D76066" w:rsidRPr="001045B7" w:rsidRDefault="00D76066" w:rsidP="00860054">
            <w:pPr>
              <w:pStyle w:val="TableParagraph"/>
              <w:spacing w:line="276" w:lineRule="auto"/>
              <w:rPr>
                <w:rFonts w:asciiTheme="minorHAnsi" w:hAnsiTheme="minorHAnsi" w:cstheme="minorHAnsi"/>
                <w:sz w:val="13"/>
                <w:szCs w:val="15"/>
              </w:rPr>
            </w:pPr>
          </w:p>
        </w:tc>
      </w:tr>
      <w:tr w:rsidR="00D76066" w:rsidRPr="001045B7" w14:paraId="5B58222A" w14:textId="77777777" w:rsidTr="00522798">
        <w:trPr>
          <w:trHeight w:val="138"/>
          <w:jc w:val="center"/>
        </w:trPr>
        <w:tc>
          <w:tcPr>
            <w:tcW w:w="3997" w:type="dxa"/>
            <w:tcBorders>
              <w:left w:val="single" w:sz="4" w:space="0" w:color="auto"/>
              <w:right w:val="single" w:sz="4" w:space="0" w:color="959595"/>
            </w:tcBorders>
          </w:tcPr>
          <w:p w14:paraId="5F25288B" w14:textId="77777777" w:rsidR="00D76066" w:rsidRPr="001045B7" w:rsidRDefault="00D76066" w:rsidP="00860054">
            <w:pPr>
              <w:pStyle w:val="TableParagraph"/>
              <w:spacing w:before="10" w:line="276" w:lineRule="auto"/>
              <w:ind w:left="19"/>
              <w:rPr>
                <w:rFonts w:asciiTheme="minorHAnsi" w:hAnsiTheme="minorHAnsi" w:cstheme="minorHAnsi"/>
                <w:sz w:val="13"/>
                <w:szCs w:val="15"/>
              </w:rPr>
            </w:pPr>
            <w:r w:rsidRPr="001045B7">
              <w:rPr>
                <w:rFonts w:asciiTheme="minorHAnsi" w:hAnsiTheme="minorHAnsi" w:cstheme="minorHAnsi"/>
                <w:w w:val="105"/>
                <w:sz w:val="13"/>
                <w:szCs w:val="15"/>
              </w:rPr>
              <w:t>Año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elaboración</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del</w:t>
            </w:r>
            <w:r w:rsidRPr="001045B7">
              <w:rPr>
                <w:rFonts w:asciiTheme="minorHAnsi" w:hAnsiTheme="minorHAnsi" w:cstheme="minorHAnsi"/>
                <w:spacing w:val="3"/>
                <w:w w:val="105"/>
                <w:sz w:val="13"/>
                <w:szCs w:val="15"/>
              </w:rPr>
              <w:t xml:space="preserve"> </w:t>
            </w:r>
            <w:r w:rsidRPr="001045B7">
              <w:rPr>
                <w:rFonts w:asciiTheme="minorHAnsi" w:hAnsiTheme="minorHAnsi" w:cstheme="minorHAnsi"/>
                <w:w w:val="105"/>
                <w:sz w:val="13"/>
                <w:szCs w:val="15"/>
              </w:rPr>
              <w:t>estudio</w:t>
            </w:r>
            <w:r w:rsidRPr="001045B7">
              <w:rPr>
                <w:rFonts w:asciiTheme="minorHAnsi" w:hAnsiTheme="minorHAnsi" w:cstheme="minorHAnsi"/>
                <w:spacing w:val="2"/>
                <w:w w:val="105"/>
                <w:sz w:val="13"/>
                <w:szCs w:val="15"/>
              </w:rPr>
              <w:t xml:space="preserve"> </w:t>
            </w:r>
            <w:r w:rsidRPr="001045B7">
              <w:rPr>
                <w:rFonts w:asciiTheme="minorHAnsi" w:hAnsiTheme="minorHAnsi" w:cstheme="minorHAnsi"/>
                <w:w w:val="105"/>
                <w:sz w:val="13"/>
                <w:szCs w:val="15"/>
              </w:rPr>
              <w:t>actuarial</w:t>
            </w:r>
          </w:p>
        </w:tc>
        <w:tc>
          <w:tcPr>
            <w:tcW w:w="1559" w:type="dxa"/>
            <w:tcBorders>
              <w:left w:val="single" w:sz="4" w:space="0" w:color="959595"/>
              <w:right w:val="single" w:sz="4" w:space="0" w:color="959595"/>
            </w:tcBorders>
          </w:tcPr>
          <w:p w14:paraId="2F914E50" w14:textId="3597EB28" w:rsidR="00D76066" w:rsidRPr="001045B7" w:rsidRDefault="00D76066" w:rsidP="00860054">
            <w:pPr>
              <w:pStyle w:val="TableParagraph"/>
              <w:spacing w:before="10" w:line="276" w:lineRule="auto"/>
              <w:ind w:left="58" w:right="33"/>
              <w:jc w:val="center"/>
              <w:rPr>
                <w:rFonts w:asciiTheme="minorHAnsi" w:hAnsiTheme="minorHAnsi" w:cstheme="minorHAnsi"/>
                <w:sz w:val="13"/>
                <w:szCs w:val="15"/>
              </w:rPr>
            </w:pPr>
            <w:r w:rsidRPr="001045B7">
              <w:rPr>
                <w:rFonts w:asciiTheme="minorHAnsi" w:hAnsiTheme="minorHAnsi" w:cstheme="minorHAnsi"/>
                <w:w w:val="105"/>
                <w:sz w:val="13"/>
                <w:szCs w:val="15"/>
              </w:rPr>
              <w:t>202</w:t>
            </w:r>
            <w:r w:rsidR="00DC45C1" w:rsidRPr="001045B7">
              <w:rPr>
                <w:rFonts w:asciiTheme="minorHAnsi" w:hAnsiTheme="minorHAnsi" w:cstheme="minorHAnsi"/>
                <w:w w:val="105"/>
                <w:sz w:val="13"/>
                <w:szCs w:val="15"/>
              </w:rPr>
              <w:t>4</w:t>
            </w:r>
          </w:p>
        </w:tc>
        <w:tc>
          <w:tcPr>
            <w:tcW w:w="1139" w:type="dxa"/>
            <w:vMerge/>
            <w:tcBorders>
              <w:top w:val="nil"/>
              <w:left w:val="single" w:sz="4" w:space="0" w:color="959595"/>
              <w:right w:val="single" w:sz="4" w:space="0" w:color="959595"/>
            </w:tcBorders>
          </w:tcPr>
          <w:p w14:paraId="7476298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right w:val="single" w:sz="4" w:space="0" w:color="959595"/>
            </w:tcBorders>
          </w:tcPr>
          <w:p w14:paraId="74241168" w14:textId="027DAD18" w:rsidR="00D76066" w:rsidRPr="001045B7" w:rsidRDefault="00D76066" w:rsidP="00860054">
            <w:pPr>
              <w:pStyle w:val="TableParagraph"/>
              <w:spacing w:before="10" w:line="276" w:lineRule="auto"/>
              <w:ind w:left="44" w:right="20"/>
              <w:jc w:val="center"/>
              <w:rPr>
                <w:rFonts w:asciiTheme="minorHAnsi" w:hAnsiTheme="minorHAnsi" w:cstheme="minorHAnsi"/>
                <w:sz w:val="13"/>
                <w:szCs w:val="15"/>
              </w:rPr>
            </w:pPr>
          </w:p>
        </w:tc>
        <w:tc>
          <w:tcPr>
            <w:tcW w:w="1559" w:type="dxa"/>
            <w:tcBorders>
              <w:left w:val="single" w:sz="4" w:space="0" w:color="959595"/>
              <w:right w:val="single" w:sz="4" w:space="0" w:color="959595"/>
            </w:tcBorders>
          </w:tcPr>
          <w:p w14:paraId="26BCBC3E" w14:textId="46BE02C9" w:rsidR="00D76066" w:rsidRPr="001045B7" w:rsidRDefault="00D76066" w:rsidP="00860054">
            <w:pPr>
              <w:pStyle w:val="TableParagraph"/>
              <w:spacing w:before="10" w:line="276" w:lineRule="auto"/>
              <w:ind w:left="27" w:right="5"/>
              <w:jc w:val="center"/>
              <w:rPr>
                <w:rFonts w:asciiTheme="minorHAnsi" w:hAnsiTheme="minorHAnsi" w:cstheme="minorHAnsi"/>
                <w:sz w:val="13"/>
                <w:szCs w:val="15"/>
              </w:rPr>
            </w:pPr>
          </w:p>
        </w:tc>
        <w:tc>
          <w:tcPr>
            <w:tcW w:w="1413" w:type="dxa"/>
            <w:tcBorders>
              <w:left w:val="single" w:sz="4" w:space="0" w:color="959595"/>
              <w:right w:val="single" w:sz="4" w:space="0" w:color="959595"/>
            </w:tcBorders>
          </w:tcPr>
          <w:p w14:paraId="318E5AEF" w14:textId="18D5377A" w:rsidR="00D76066" w:rsidRPr="001045B7" w:rsidRDefault="00D76066" w:rsidP="00860054">
            <w:pPr>
              <w:pStyle w:val="TableParagraph"/>
              <w:spacing w:before="10" w:line="276" w:lineRule="auto"/>
              <w:ind w:left="84" w:right="66"/>
              <w:jc w:val="center"/>
              <w:rPr>
                <w:rFonts w:asciiTheme="minorHAnsi" w:hAnsiTheme="minorHAnsi" w:cstheme="minorHAnsi"/>
                <w:sz w:val="13"/>
                <w:szCs w:val="15"/>
              </w:rPr>
            </w:pPr>
          </w:p>
        </w:tc>
      </w:tr>
      <w:tr w:rsidR="00D76066" w:rsidRPr="001045B7" w14:paraId="0422596B" w14:textId="77777777" w:rsidTr="00522798">
        <w:trPr>
          <w:trHeight w:val="270"/>
          <w:jc w:val="center"/>
        </w:trPr>
        <w:tc>
          <w:tcPr>
            <w:tcW w:w="3997" w:type="dxa"/>
            <w:tcBorders>
              <w:left w:val="single" w:sz="4" w:space="0" w:color="auto"/>
              <w:bottom w:val="single" w:sz="4" w:space="0" w:color="auto"/>
              <w:right w:val="single" w:sz="4" w:space="0" w:color="959595"/>
            </w:tcBorders>
          </w:tcPr>
          <w:p w14:paraId="5F237B6C" w14:textId="77777777" w:rsidR="00D76066" w:rsidRPr="001045B7" w:rsidRDefault="00D76066" w:rsidP="00860054">
            <w:pPr>
              <w:pStyle w:val="TableParagraph"/>
              <w:spacing w:before="74" w:line="276" w:lineRule="auto"/>
              <w:ind w:left="18"/>
              <w:rPr>
                <w:rFonts w:asciiTheme="minorHAnsi" w:hAnsiTheme="minorHAnsi" w:cstheme="minorHAnsi"/>
                <w:sz w:val="13"/>
                <w:szCs w:val="15"/>
              </w:rPr>
            </w:pPr>
            <w:r w:rsidRPr="001045B7">
              <w:rPr>
                <w:rFonts w:asciiTheme="minorHAnsi" w:hAnsiTheme="minorHAnsi" w:cstheme="minorHAnsi"/>
                <w:w w:val="105"/>
                <w:sz w:val="13"/>
                <w:szCs w:val="15"/>
              </w:rPr>
              <w:t>Empresa</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que</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elaboró</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el estudio</w:t>
            </w:r>
            <w:r w:rsidRPr="001045B7">
              <w:rPr>
                <w:rFonts w:asciiTheme="minorHAnsi" w:hAnsiTheme="minorHAnsi" w:cstheme="minorHAnsi"/>
                <w:spacing w:val="-1"/>
                <w:w w:val="105"/>
                <w:sz w:val="13"/>
                <w:szCs w:val="15"/>
              </w:rPr>
              <w:t xml:space="preserve"> </w:t>
            </w:r>
            <w:r w:rsidRPr="001045B7">
              <w:rPr>
                <w:rFonts w:asciiTheme="minorHAnsi" w:hAnsiTheme="minorHAnsi" w:cstheme="minorHAnsi"/>
                <w:w w:val="105"/>
                <w:sz w:val="13"/>
                <w:szCs w:val="15"/>
              </w:rPr>
              <w:t>actuarial</w:t>
            </w:r>
          </w:p>
        </w:tc>
        <w:tc>
          <w:tcPr>
            <w:tcW w:w="1559" w:type="dxa"/>
            <w:tcBorders>
              <w:left w:val="single" w:sz="4" w:space="0" w:color="959595"/>
              <w:bottom w:val="single" w:sz="4" w:space="0" w:color="auto"/>
              <w:right w:val="single" w:sz="4" w:space="0" w:color="959595"/>
            </w:tcBorders>
          </w:tcPr>
          <w:p w14:paraId="7EC5F75D" w14:textId="77777777" w:rsidR="00DC45C1" w:rsidRPr="001045B7" w:rsidRDefault="00DC45C1" w:rsidP="00DC45C1">
            <w:pPr>
              <w:pStyle w:val="TableParagraph"/>
              <w:spacing w:before="11" w:line="276" w:lineRule="auto"/>
              <w:ind w:left="58" w:right="50"/>
              <w:jc w:val="center"/>
              <w:rPr>
                <w:rFonts w:asciiTheme="minorHAnsi" w:hAnsiTheme="minorHAnsi" w:cstheme="minorHAnsi"/>
                <w:w w:val="105"/>
                <w:sz w:val="13"/>
                <w:szCs w:val="15"/>
                <w:lang w:val="es-MX"/>
              </w:rPr>
            </w:pPr>
            <w:proofErr w:type="spellStart"/>
            <w:r w:rsidRPr="001045B7">
              <w:rPr>
                <w:rFonts w:asciiTheme="minorHAnsi" w:hAnsiTheme="minorHAnsi" w:cstheme="minorHAnsi"/>
                <w:w w:val="105"/>
                <w:sz w:val="13"/>
                <w:szCs w:val="15"/>
                <w:lang w:val="es-MX"/>
              </w:rPr>
              <w:t>JR</w:t>
            </w:r>
            <w:proofErr w:type="spellEnd"/>
            <w:r w:rsidRPr="001045B7">
              <w:rPr>
                <w:rFonts w:asciiTheme="minorHAnsi" w:hAnsiTheme="minorHAnsi" w:cstheme="minorHAnsi"/>
                <w:w w:val="105"/>
                <w:sz w:val="13"/>
                <w:szCs w:val="15"/>
                <w:lang w:val="es-MX"/>
              </w:rPr>
              <w:t xml:space="preserve"> VALUACIONES</w:t>
            </w:r>
          </w:p>
          <w:p w14:paraId="72B587DC" w14:textId="0BAFAEE3" w:rsidR="00D76066" w:rsidRPr="001045B7" w:rsidRDefault="00DC45C1" w:rsidP="00DC45C1">
            <w:pPr>
              <w:pStyle w:val="TableParagraph"/>
              <w:spacing w:before="22" w:line="276" w:lineRule="auto"/>
              <w:ind w:left="58" w:right="42"/>
              <w:jc w:val="center"/>
              <w:rPr>
                <w:rFonts w:asciiTheme="minorHAnsi" w:hAnsiTheme="minorHAnsi" w:cstheme="minorHAnsi"/>
                <w:sz w:val="13"/>
                <w:szCs w:val="15"/>
              </w:rPr>
            </w:pPr>
            <w:r w:rsidRPr="001045B7">
              <w:rPr>
                <w:rFonts w:asciiTheme="minorHAnsi" w:hAnsiTheme="minorHAnsi" w:cstheme="minorHAnsi"/>
                <w:w w:val="105"/>
                <w:sz w:val="13"/>
                <w:szCs w:val="15"/>
                <w:lang w:val="es-MX"/>
              </w:rPr>
              <w:t>ACTUARIALES, SC.</w:t>
            </w:r>
          </w:p>
        </w:tc>
        <w:tc>
          <w:tcPr>
            <w:tcW w:w="1139" w:type="dxa"/>
            <w:vMerge/>
            <w:tcBorders>
              <w:top w:val="nil"/>
              <w:left w:val="single" w:sz="4" w:space="0" w:color="959595"/>
              <w:bottom w:val="single" w:sz="4" w:space="0" w:color="auto"/>
              <w:right w:val="single" w:sz="4" w:space="0" w:color="959595"/>
            </w:tcBorders>
          </w:tcPr>
          <w:p w14:paraId="3929E527" w14:textId="77777777" w:rsidR="00D76066" w:rsidRPr="001045B7" w:rsidRDefault="00D76066" w:rsidP="00860054">
            <w:pPr>
              <w:spacing w:line="276" w:lineRule="auto"/>
              <w:rPr>
                <w:rFonts w:asciiTheme="minorHAnsi" w:hAnsiTheme="minorHAnsi" w:cstheme="minorHAnsi"/>
                <w:sz w:val="13"/>
                <w:szCs w:val="15"/>
              </w:rPr>
            </w:pPr>
          </w:p>
        </w:tc>
        <w:tc>
          <w:tcPr>
            <w:tcW w:w="1276" w:type="dxa"/>
            <w:tcBorders>
              <w:left w:val="single" w:sz="4" w:space="0" w:color="959595"/>
              <w:bottom w:val="single" w:sz="4" w:space="0" w:color="auto"/>
              <w:right w:val="single" w:sz="4" w:space="0" w:color="959595"/>
            </w:tcBorders>
          </w:tcPr>
          <w:p w14:paraId="62FD0C9A" w14:textId="53BD9149" w:rsidR="00D76066" w:rsidRPr="001045B7" w:rsidRDefault="00D76066" w:rsidP="00860054">
            <w:pPr>
              <w:pStyle w:val="TableParagraph"/>
              <w:spacing w:before="22" w:line="276" w:lineRule="auto"/>
              <w:ind w:left="44" w:right="34"/>
              <w:jc w:val="center"/>
              <w:rPr>
                <w:rFonts w:asciiTheme="minorHAnsi" w:hAnsiTheme="minorHAnsi" w:cstheme="minorHAnsi"/>
                <w:sz w:val="13"/>
                <w:szCs w:val="15"/>
              </w:rPr>
            </w:pPr>
          </w:p>
        </w:tc>
        <w:tc>
          <w:tcPr>
            <w:tcW w:w="1559" w:type="dxa"/>
            <w:tcBorders>
              <w:left w:val="single" w:sz="4" w:space="0" w:color="959595"/>
              <w:bottom w:val="single" w:sz="4" w:space="0" w:color="auto"/>
              <w:right w:val="single" w:sz="4" w:space="0" w:color="959595"/>
            </w:tcBorders>
          </w:tcPr>
          <w:p w14:paraId="4EDE886D" w14:textId="2A888E08" w:rsidR="00D76066" w:rsidRPr="001045B7" w:rsidRDefault="00D76066" w:rsidP="00860054">
            <w:pPr>
              <w:pStyle w:val="TableParagraph"/>
              <w:spacing w:before="22" w:line="276" w:lineRule="auto"/>
              <w:ind w:left="27" w:right="17"/>
              <w:jc w:val="center"/>
              <w:rPr>
                <w:rFonts w:asciiTheme="minorHAnsi" w:hAnsiTheme="minorHAnsi" w:cstheme="minorHAnsi"/>
                <w:sz w:val="13"/>
                <w:szCs w:val="15"/>
              </w:rPr>
            </w:pPr>
          </w:p>
        </w:tc>
        <w:tc>
          <w:tcPr>
            <w:tcW w:w="1413" w:type="dxa"/>
            <w:tcBorders>
              <w:left w:val="single" w:sz="4" w:space="0" w:color="959595"/>
              <w:bottom w:val="single" w:sz="4" w:space="0" w:color="auto"/>
              <w:right w:val="single" w:sz="4" w:space="0" w:color="959595"/>
            </w:tcBorders>
          </w:tcPr>
          <w:p w14:paraId="7B115B7E" w14:textId="2A661D8E" w:rsidR="00D76066" w:rsidRPr="001045B7" w:rsidRDefault="00D76066" w:rsidP="00860054">
            <w:pPr>
              <w:pStyle w:val="TableParagraph"/>
              <w:spacing w:before="22" w:line="276" w:lineRule="auto"/>
              <w:ind w:left="75" w:right="66"/>
              <w:jc w:val="center"/>
              <w:rPr>
                <w:rFonts w:asciiTheme="minorHAnsi" w:hAnsiTheme="minorHAnsi" w:cstheme="minorHAnsi"/>
                <w:sz w:val="13"/>
                <w:szCs w:val="15"/>
              </w:rPr>
            </w:pPr>
          </w:p>
        </w:tc>
      </w:tr>
    </w:tbl>
    <w:p w14:paraId="5D776420" w14:textId="77777777" w:rsidR="00E54130" w:rsidRPr="001045B7" w:rsidRDefault="00E54130" w:rsidP="00860054">
      <w:pPr>
        <w:spacing w:line="276" w:lineRule="auto"/>
        <w:jc w:val="both"/>
        <w:rPr>
          <w:rFonts w:asciiTheme="minorHAnsi" w:hAnsiTheme="minorHAnsi" w:cstheme="minorHAnsi"/>
          <w:sz w:val="17"/>
          <w:szCs w:val="17"/>
        </w:rPr>
      </w:pPr>
    </w:p>
    <w:p w14:paraId="5C81807C" w14:textId="77777777" w:rsidR="00EE59E2" w:rsidRPr="001045B7" w:rsidRDefault="00EE59E2" w:rsidP="00860054">
      <w:pPr>
        <w:spacing w:line="276" w:lineRule="auto"/>
        <w:jc w:val="both"/>
        <w:rPr>
          <w:rFonts w:asciiTheme="minorHAnsi" w:hAnsiTheme="minorHAnsi" w:cstheme="minorHAnsi"/>
          <w:sz w:val="17"/>
          <w:szCs w:val="17"/>
        </w:rPr>
      </w:pPr>
    </w:p>
    <w:p w14:paraId="73F9D820" w14:textId="6D2917C3"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lo referente a la depuración y cancelación de saldos, las políticas particulares están contenidas </w:t>
      </w:r>
      <w:r w:rsidR="002F37A9" w:rsidRPr="001045B7">
        <w:rPr>
          <w:rFonts w:asciiTheme="minorHAnsi" w:hAnsiTheme="minorHAnsi" w:cstheme="minorHAnsi"/>
          <w:sz w:val="17"/>
          <w:szCs w:val="17"/>
        </w:rPr>
        <w:t>en el Anexo I</w:t>
      </w:r>
      <w:r w:rsidRPr="001045B7">
        <w:rPr>
          <w:rFonts w:asciiTheme="minorHAnsi" w:hAnsiTheme="minorHAnsi" w:cstheme="minorHAnsi"/>
          <w:sz w:val="17"/>
          <w:szCs w:val="17"/>
        </w:rPr>
        <w:t xml:space="preserve"> del Manual de Contabilidad Gubernamental del Poder Ejecutivo del Estado de Querétaro.</w:t>
      </w:r>
    </w:p>
    <w:p w14:paraId="52E53E6F" w14:textId="77777777" w:rsidR="00E54130" w:rsidRPr="001045B7" w:rsidRDefault="00E54130" w:rsidP="00860054">
      <w:pPr>
        <w:spacing w:line="276" w:lineRule="auto"/>
        <w:jc w:val="both"/>
        <w:rPr>
          <w:rFonts w:asciiTheme="minorHAnsi" w:hAnsiTheme="minorHAnsi" w:cstheme="minorHAnsi"/>
          <w:sz w:val="17"/>
          <w:szCs w:val="17"/>
        </w:rPr>
      </w:pPr>
    </w:p>
    <w:p w14:paraId="6A4B6A11" w14:textId="66DAF78E"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informa que a lo largo del ejercicio se ha realizado el análisis de la cuenta de obras en proceso, a efecto de presentar el saldo depurado en esta cuenta quedando reflejado el monto de las obras que se encuentran en proceso de ser concluidas.</w:t>
      </w:r>
    </w:p>
    <w:p w14:paraId="6B283E4B" w14:textId="77777777" w:rsidR="002A27CE" w:rsidRPr="001045B7" w:rsidRDefault="002A27CE" w:rsidP="00860054">
      <w:pPr>
        <w:spacing w:line="276" w:lineRule="auto"/>
        <w:jc w:val="both"/>
        <w:rPr>
          <w:rFonts w:asciiTheme="minorHAnsi" w:hAnsiTheme="minorHAnsi" w:cstheme="minorHAnsi"/>
          <w:sz w:val="17"/>
          <w:szCs w:val="17"/>
        </w:rPr>
      </w:pPr>
    </w:p>
    <w:p w14:paraId="582B5C83" w14:textId="6DEE5463"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Poder Ejecutivo en apego al artículo 32 de la Ley General de Contabilidad Gubernamental, ha actualizado el valor de la participación que tiene en las Entidades Paraestatales, el cual tuvo como resultado una disminución en el rubro del activo no circulante, así como el respectivo reconocimiento en Otros Ingresos y Beneficios Varios y en Otros Gastos y Pérdidas Extraordinarias.</w:t>
      </w:r>
    </w:p>
    <w:p w14:paraId="6CE7969B" w14:textId="77777777" w:rsidR="002A27CE" w:rsidRPr="001045B7" w:rsidRDefault="002A27CE" w:rsidP="00860054">
      <w:pPr>
        <w:spacing w:line="276" w:lineRule="auto"/>
        <w:jc w:val="both"/>
        <w:rPr>
          <w:rFonts w:asciiTheme="minorHAnsi" w:hAnsiTheme="minorHAnsi" w:cstheme="minorHAnsi"/>
          <w:sz w:val="17"/>
          <w:szCs w:val="17"/>
        </w:rPr>
      </w:pPr>
    </w:p>
    <w:p w14:paraId="246182F9" w14:textId="77777777" w:rsidR="00E54130" w:rsidRPr="001045B7" w:rsidRDefault="00E54130"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Posición en Moneda Extranjera y Protección por Riesgo Cambiario</w:t>
      </w:r>
    </w:p>
    <w:p w14:paraId="3F14F507" w14:textId="77777777" w:rsidR="00E54130" w:rsidRPr="001045B7" w:rsidRDefault="00E54130" w:rsidP="00860054">
      <w:pPr>
        <w:spacing w:line="276" w:lineRule="auto"/>
        <w:jc w:val="both"/>
        <w:rPr>
          <w:rFonts w:asciiTheme="minorHAnsi" w:hAnsiTheme="minorHAnsi" w:cstheme="minorHAnsi"/>
          <w:sz w:val="17"/>
          <w:szCs w:val="17"/>
        </w:rPr>
      </w:pPr>
    </w:p>
    <w:p w14:paraId="6BFA2709" w14:textId="027193FD"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informa que no existen posiciones en Moneda Extranjera.</w:t>
      </w:r>
    </w:p>
    <w:p w14:paraId="5A46F4CD" w14:textId="3D2C6665" w:rsidR="00E54130" w:rsidRPr="001045B7" w:rsidRDefault="00E54130" w:rsidP="00860054">
      <w:pPr>
        <w:spacing w:line="276" w:lineRule="auto"/>
        <w:jc w:val="both"/>
        <w:rPr>
          <w:rFonts w:asciiTheme="minorHAnsi" w:hAnsiTheme="minorHAnsi" w:cstheme="minorHAnsi"/>
          <w:sz w:val="17"/>
          <w:szCs w:val="17"/>
        </w:rPr>
      </w:pPr>
    </w:p>
    <w:p w14:paraId="6B60FB51" w14:textId="77777777" w:rsidR="005D3CE8" w:rsidRPr="001045B7" w:rsidRDefault="005D3CE8" w:rsidP="00860054">
      <w:pPr>
        <w:spacing w:line="276" w:lineRule="auto"/>
        <w:jc w:val="both"/>
        <w:rPr>
          <w:rFonts w:asciiTheme="minorHAnsi" w:hAnsiTheme="minorHAnsi" w:cstheme="minorHAnsi"/>
          <w:sz w:val="17"/>
          <w:szCs w:val="17"/>
        </w:rPr>
      </w:pPr>
    </w:p>
    <w:p w14:paraId="011203F9" w14:textId="48469E7C" w:rsidR="00E54130" w:rsidRPr="001045B7" w:rsidRDefault="00E54130"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Reporte Analítico del Activo</w:t>
      </w:r>
    </w:p>
    <w:p w14:paraId="583AD0C4" w14:textId="77777777" w:rsidR="00E54130" w:rsidRPr="001045B7" w:rsidRDefault="00E54130" w:rsidP="00860054">
      <w:pPr>
        <w:pStyle w:val="Prrafodelista"/>
        <w:spacing w:line="276" w:lineRule="auto"/>
        <w:jc w:val="both"/>
        <w:rPr>
          <w:rFonts w:asciiTheme="minorHAnsi" w:hAnsiTheme="minorHAnsi" w:cstheme="minorHAnsi"/>
          <w:sz w:val="17"/>
          <w:szCs w:val="17"/>
        </w:rPr>
      </w:pPr>
    </w:p>
    <w:p w14:paraId="2B2F2B58" w14:textId="77777777"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efecto del Estado Analítico del Activo se comenta lo siguiente:</w:t>
      </w:r>
    </w:p>
    <w:p w14:paraId="1FB025A8" w14:textId="77777777" w:rsidR="000512CA" w:rsidRPr="001045B7" w:rsidRDefault="000512CA" w:rsidP="00860054">
      <w:pPr>
        <w:spacing w:line="276" w:lineRule="auto"/>
        <w:jc w:val="both"/>
        <w:rPr>
          <w:rFonts w:asciiTheme="minorHAnsi" w:hAnsiTheme="minorHAnsi" w:cstheme="minorHAnsi"/>
          <w:sz w:val="17"/>
          <w:szCs w:val="17"/>
        </w:rPr>
      </w:pPr>
    </w:p>
    <w:p w14:paraId="4B9E982D" w14:textId="3AE5DF31"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cuanto a la vida útil, porcentajes de depreciación y amortización de los diferentes tipos de activos no circulantes, se encuentran revelados en las Notas de Desglose, en particular en las Notas al Estado de Situación Financiera, en el apartado “Bienes Muebles, Inmuebles e Intangibles”.</w:t>
      </w:r>
    </w:p>
    <w:p w14:paraId="5379C3A2" w14:textId="77777777" w:rsidR="000512CA" w:rsidRPr="001045B7" w:rsidRDefault="000512CA" w:rsidP="00860054">
      <w:pPr>
        <w:spacing w:line="276" w:lineRule="auto"/>
        <w:jc w:val="both"/>
        <w:rPr>
          <w:rFonts w:asciiTheme="minorHAnsi" w:hAnsiTheme="minorHAnsi" w:cstheme="minorHAnsi"/>
          <w:sz w:val="17"/>
          <w:szCs w:val="17"/>
        </w:rPr>
      </w:pPr>
    </w:p>
    <w:p w14:paraId="450C7668" w14:textId="088A58A6"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w:t>
      </w:r>
      <w:r w:rsidRPr="001045B7">
        <w:rPr>
          <w:rFonts w:asciiTheme="minorHAnsi" w:hAnsiTheme="minorHAnsi" w:cstheme="minorHAnsi"/>
          <w:sz w:val="17"/>
          <w:szCs w:val="17"/>
        </w:rPr>
        <w:lastRenderedPageBreak/>
        <w:t>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14:paraId="7FB4F224" w14:textId="77777777" w:rsidR="00A477CA" w:rsidRPr="001045B7" w:rsidRDefault="00A477CA" w:rsidP="00860054">
      <w:pPr>
        <w:spacing w:line="276" w:lineRule="auto"/>
        <w:jc w:val="both"/>
        <w:rPr>
          <w:rFonts w:asciiTheme="minorHAnsi" w:hAnsiTheme="minorHAnsi" w:cstheme="minorHAnsi"/>
          <w:sz w:val="17"/>
          <w:szCs w:val="17"/>
        </w:rPr>
      </w:pPr>
    </w:p>
    <w:p w14:paraId="0DA7889A" w14:textId="77777777" w:rsidR="00E54130" w:rsidRPr="001045B7" w:rsidRDefault="00E54130"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Fideicomisos, Mandatos y Análogos</w:t>
      </w:r>
    </w:p>
    <w:p w14:paraId="6F30253A" w14:textId="77777777" w:rsidR="00E54130" w:rsidRPr="001045B7" w:rsidRDefault="00E54130" w:rsidP="00860054">
      <w:pPr>
        <w:spacing w:line="276" w:lineRule="auto"/>
        <w:jc w:val="both"/>
        <w:rPr>
          <w:rFonts w:asciiTheme="minorHAnsi" w:hAnsiTheme="minorHAnsi" w:cstheme="minorHAnsi"/>
          <w:sz w:val="17"/>
          <w:szCs w:val="17"/>
        </w:rPr>
      </w:pPr>
    </w:p>
    <w:p w14:paraId="2511257F" w14:textId="0B58E8E2"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lo referente a los Fideicomisos, Mandatos y Análogos de los cuales es fideicomitente o fideicomisario, en conformidad con </w:t>
      </w:r>
      <w:r w:rsidR="00607D6D" w:rsidRPr="001045B7">
        <w:rPr>
          <w:rFonts w:asciiTheme="minorHAnsi" w:hAnsiTheme="minorHAnsi" w:cstheme="minorHAnsi"/>
          <w:sz w:val="17"/>
          <w:szCs w:val="17"/>
        </w:rPr>
        <w:t>los</w:t>
      </w:r>
      <w:r w:rsidRPr="001045B7">
        <w:rPr>
          <w:rFonts w:asciiTheme="minorHAnsi" w:hAnsiTheme="minorHAnsi" w:cstheme="minorHAnsi"/>
          <w:sz w:val="17"/>
          <w:szCs w:val="17"/>
        </w:rPr>
        <w:t xml:space="preserve"> “Lineamientos que deberán observar los entes públicos para registrar en las cuentas de activo los fideicomisos sin estructura orgánica y contratos análogos, incluyendo mandatos”, se registraron de la siguiente manera:</w:t>
      </w:r>
    </w:p>
    <w:p w14:paraId="09122DAC" w14:textId="4AE7EDD7" w:rsidR="000512CA" w:rsidRPr="001045B7" w:rsidRDefault="000512CA" w:rsidP="00860054">
      <w:pPr>
        <w:spacing w:line="276" w:lineRule="auto"/>
        <w:jc w:val="both"/>
        <w:rPr>
          <w:rFonts w:asciiTheme="minorHAnsi" w:hAnsiTheme="minorHAnsi" w:cstheme="minorHAnsi"/>
          <w:sz w:val="17"/>
          <w:szCs w:val="17"/>
        </w:rPr>
      </w:pPr>
    </w:p>
    <w:tbl>
      <w:tblPr>
        <w:tblW w:w="0" w:type="auto"/>
        <w:jc w:val="center"/>
        <w:tblCellMar>
          <w:left w:w="70" w:type="dxa"/>
          <w:right w:w="70" w:type="dxa"/>
        </w:tblCellMar>
        <w:tblLook w:val="04A0" w:firstRow="1" w:lastRow="0" w:firstColumn="1" w:lastColumn="0" w:noHBand="0" w:noVBand="1"/>
      </w:tblPr>
      <w:tblGrid>
        <w:gridCol w:w="8664"/>
        <w:gridCol w:w="1134"/>
      </w:tblGrid>
      <w:tr w:rsidR="007873F4" w:rsidRPr="001045B7" w14:paraId="44479CDC" w14:textId="77777777" w:rsidTr="00D13F80">
        <w:trPr>
          <w:trHeight w:val="70"/>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5F1222" w14:textId="3183EF15" w:rsidR="007873F4" w:rsidRPr="001045B7" w:rsidRDefault="00EB6731" w:rsidP="007873F4">
            <w:pPr>
              <w:spacing w:line="276" w:lineRule="auto"/>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Secretarí</w:t>
            </w:r>
            <w:r w:rsidR="007873F4" w:rsidRPr="001045B7">
              <w:rPr>
                <w:rFonts w:asciiTheme="minorHAnsi" w:hAnsiTheme="minorHAnsi" w:cstheme="minorHAnsi"/>
                <w:b/>
                <w:bCs/>
                <w:color w:val="000000"/>
                <w:sz w:val="17"/>
                <w:szCs w:val="17"/>
              </w:rPr>
              <w:t>a de Finanzas</w:t>
            </w:r>
          </w:p>
        </w:tc>
      </w:tr>
      <w:tr w:rsidR="003502DE" w:rsidRPr="001045B7" w14:paraId="393AF2DB"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0A597D2A" w14:textId="77777777" w:rsidR="003502DE" w:rsidRPr="001045B7" w:rsidRDefault="003502DE" w:rsidP="003502DE">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Irrevocable de Administración, Inversión, Garantía y fuente de pago No 592</w:t>
            </w:r>
          </w:p>
        </w:tc>
        <w:tc>
          <w:tcPr>
            <w:tcW w:w="1134" w:type="dxa"/>
            <w:tcBorders>
              <w:top w:val="single" w:sz="4" w:space="0" w:color="auto"/>
              <w:left w:val="nil"/>
              <w:bottom w:val="single" w:sz="4" w:space="0" w:color="auto"/>
              <w:right w:val="single" w:sz="4" w:space="0" w:color="auto"/>
            </w:tcBorders>
            <w:shd w:val="clear" w:color="auto" w:fill="auto"/>
          </w:tcPr>
          <w:p w14:paraId="2623748C" w14:textId="45A7EAC5" w:rsidR="003502DE" w:rsidRPr="001045B7" w:rsidRDefault="003502DE" w:rsidP="003502D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 xml:space="preserve"> 1,000 </w:t>
            </w:r>
          </w:p>
        </w:tc>
      </w:tr>
      <w:tr w:rsidR="003502DE" w:rsidRPr="001045B7" w14:paraId="64E87F47"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258386CA" w14:textId="77777777" w:rsidR="003502DE" w:rsidRPr="001045B7" w:rsidRDefault="003502DE" w:rsidP="003502DE">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Irrevocable de Administración, Garantía y pago numero 741962</w:t>
            </w:r>
          </w:p>
        </w:tc>
        <w:tc>
          <w:tcPr>
            <w:tcW w:w="1134" w:type="dxa"/>
            <w:tcBorders>
              <w:top w:val="single" w:sz="4" w:space="0" w:color="auto"/>
              <w:left w:val="nil"/>
              <w:bottom w:val="single" w:sz="4" w:space="0" w:color="auto"/>
              <w:right w:val="single" w:sz="4" w:space="0" w:color="auto"/>
            </w:tcBorders>
            <w:shd w:val="clear" w:color="auto" w:fill="auto"/>
          </w:tcPr>
          <w:p w14:paraId="41D6B4F2" w14:textId="457FB9C0" w:rsidR="003502DE" w:rsidRPr="001045B7" w:rsidRDefault="00693DA1" w:rsidP="003502D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111,760</w:t>
            </w:r>
          </w:p>
        </w:tc>
      </w:tr>
      <w:tr w:rsidR="00693DA1" w:rsidRPr="001045B7" w14:paraId="055335AF"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4667BF0E" w14:textId="77777777" w:rsidR="00693DA1" w:rsidRPr="001045B7" w:rsidRDefault="00693DA1" w:rsidP="00693DA1">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851-03021 BANREGIO (Fondo Estabilización de Ingresos)</w:t>
            </w:r>
          </w:p>
        </w:tc>
        <w:tc>
          <w:tcPr>
            <w:tcW w:w="1134" w:type="dxa"/>
            <w:tcBorders>
              <w:top w:val="single" w:sz="4" w:space="0" w:color="auto"/>
              <w:left w:val="nil"/>
              <w:bottom w:val="single" w:sz="4" w:space="0" w:color="auto"/>
              <w:right w:val="single" w:sz="4" w:space="0" w:color="auto"/>
            </w:tcBorders>
            <w:shd w:val="clear" w:color="auto" w:fill="auto"/>
          </w:tcPr>
          <w:p w14:paraId="15194405" w14:textId="78E1EC48" w:rsidR="00693DA1" w:rsidRPr="001045B7" w:rsidRDefault="00693DA1" w:rsidP="00693DA1">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10,014,357</w:t>
            </w:r>
          </w:p>
        </w:tc>
      </w:tr>
      <w:tr w:rsidR="00693DA1" w:rsidRPr="001045B7" w14:paraId="478CBEFF"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643F2116" w14:textId="77777777" w:rsidR="00693DA1" w:rsidRPr="001045B7" w:rsidRDefault="00693DA1" w:rsidP="00693DA1">
            <w:pPr>
              <w:spacing w:line="276" w:lineRule="auto"/>
              <w:rPr>
                <w:rFonts w:asciiTheme="minorHAnsi" w:hAnsiTheme="minorHAnsi" w:cstheme="minorHAnsi"/>
                <w:sz w:val="17"/>
                <w:szCs w:val="17"/>
              </w:rPr>
            </w:pPr>
            <w:r w:rsidRPr="001045B7">
              <w:rPr>
                <w:rFonts w:asciiTheme="minorHAnsi" w:hAnsiTheme="minorHAnsi" w:cstheme="minorHAnsi"/>
                <w:sz w:val="17"/>
                <w:szCs w:val="17"/>
              </w:rPr>
              <w:t xml:space="preserve">Fideicomiso </w:t>
            </w:r>
            <w:proofErr w:type="spellStart"/>
            <w:r w:rsidRPr="001045B7">
              <w:rPr>
                <w:rFonts w:asciiTheme="minorHAnsi" w:hAnsiTheme="minorHAnsi" w:cstheme="minorHAnsi"/>
                <w:sz w:val="17"/>
                <w:szCs w:val="17"/>
              </w:rPr>
              <w:t>BP19223</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BANCREA</w:t>
            </w:r>
            <w:proofErr w:type="spellEnd"/>
            <w:r w:rsidRPr="001045B7">
              <w:rPr>
                <w:rFonts w:asciiTheme="minorHAnsi" w:hAnsiTheme="minorHAnsi" w:cstheme="minorHAnsi"/>
                <w:sz w:val="17"/>
                <w:szCs w:val="17"/>
              </w:rPr>
              <w:t xml:space="preserve"> (Impulsor e Inversión)</w:t>
            </w:r>
          </w:p>
        </w:tc>
        <w:tc>
          <w:tcPr>
            <w:tcW w:w="1134" w:type="dxa"/>
            <w:tcBorders>
              <w:top w:val="single" w:sz="4" w:space="0" w:color="auto"/>
              <w:left w:val="nil"/>
              <w:bottom w:val="single" w:sz="4" w:space="0" w:color="auto"/>
              <w:right w:val="single" w:sz="4" w:space="0" w:color="auto"/>
            </w:tcBorders>
            <w:shd w:val="clear" w:color="auto" w:fill="auto"/>
          </w:tcPr>
          <w:p w14:paraId="64E530C4" w14:textId="40796A47" w:rsidR="00693DA1" w:rsidRPr="001045B7" w:rsidRDefault="00693DA1" w:rsidP="00693DA1">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10,010,000</w:t>
            </w:r>
          </w:p>
        </w:tc>
      </w:tr>
      <w:tr w:rsidR="00693DA1" w:rsidRPr="001045B7" w14:paraId="3E65EC60"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7D8816C6" w14:textId="77777777" w:rsidR="00693DA1" w:rsidRPr="001045B7" w:rsidRDefault="00693DA1" w:rsidP="00693DA1">
            <w:pPr>
              <w:spacing w:line="276" w:lineRule="auto"/>
              <w:rPr>
                <w:rFonts w:asciiTheme="minorHAnsi" w:hAnsiTheme="minorHAnsi" w:cstheme="minorHAnsi"/>
                <w:sz w:val="17"/>
                <w:szCs w:val="17"/>
              </w:rPr>
            </w:pPr>
            <w:r w:rsidRPr="001045B7">
              <w:rPr>
                <w:rFonts w:asciiTheme="minorHAnsi" w:hAnsiTheme="minorHAnsi" w:cstheme="minorHAnsi"/>
                <w:sz w:val="17"/>
                <w:szCs w:val="17"/>
              </w:rPr>
              <w:t xml:space="preserve">Fideicomiso </w:t>
            </w:r>
            <w:proofErr w:type="spellStart"/>
            <w:r w:rsidRPr="001045B7">
              <w:rPr>
                <w:rFonts w:asciiTheme="minorHAnsi" w:hAnsiTheme="minorHAnsi" w:cstheme="minorHAnsi"/>
                <w:sz w:val="17"/>
                <w:szCs w:val="17"/>
              </w:rPr>
              <w:t>BP19323</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BANCREA</w:t>
            </w:r>
            <w:proofErr w:type="spellEnd"/>
            <w:r w:rsidRPr="001045B7">
              <w:rPr>
                <w:rFonts w:asciiTheme="minorHAnsi" w:hAnsiTheme="minorHAnsi" w:cstheme="minorHAnsi"/>
                <w:sz w:val="17"/>
                <w:szCs w:val="17"/>
              </w:rPr>
              <w:t xml:space="preserve"> (Pensiones y Jubilaciones)</w:t>
            </w:r>
          </w:p>
        </w:tc>
        <w:tc>
          <w:tcPr>
            <w:tcW w:w="1134" w:type="dxa"/>
            <w:tcBorders>
              <w:top w:val="single" w:sz="4" w:space="0" w:color="auto"/>
              <w:left w:val="nil"/>
              <w:bottom w:val="single" w:sz="4" w:space="0" w:color="auto"/>
              <w:right w:val="single" w:sz="4" w:space="0" w:color="auto"/>
            </w:tcBorders>
            <w:shd w:val="clear" w:color="auto" w:fill="auto"/>
          </w:tcPr>
          <w:p w14:paraId="68DE9779" w14:textId="45EBF161" w:rsidR="00693DA1" w:rsidRPr="001045B7" w:rsidRDefault="00693DA1" w:rsidP="00693DA1">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555,820,430</w:t>
            </w:r>
          </w:p>
        </w:tc>
      </w:tr>
      <w:tr w:rsidR="00D13F80" w:rsidRPr="001045B7" w14:paraId="70B4B823"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66699B9F" w14:textId="57A93A2C" w:rsidR="00D13F80" w:rsidRPr="001045B7" w:rsidRDefault="00D13F80" w:rsidP="00D13F80">
            <w:pPr>
              <w:spacing w:line="276" w:lineRule="auto"/>
              <w:rPr>
                <w:rFonts w:asciiTheme="minorHAnsi" w:hAnsiTheme="minorHAnsi" w:cstheme="minorHAnsi"/>
                <w:sz w:val="17"/>
                <w:szCs w:val="17"/>
              </w:rPr>
            </w:pPr>
            <w:r w:rsidRPr="001045B7">
              <w:rPr>
                <w:rFonts w:asciiTheme="minorHAnsi" w:hAnsiTheme="minorHAnsi" w:cstheme="minorHAnsi"/>
                <w:sz w:val="17"/>
                <w:szCs w:val="17"/>
              </w:rPr>
              <w:t xml:space="preserve">Fideicomiso Público de Inversión, Administración y Fuente de Pago No 2287 "Paso Superior Vehicular los </w:t>
            </w:r>
            <w:proofErr w:type="spellStart"/>
            <w:r w:rsidRPr="001045B7">
              <w:rPr>
                <w:rFonts w:asciiTheme="minorHAnsi" w:hAnsiTheme="minorHAnsi" w:cstheme="minorHAnsi"/>
                <w:sz w:val="17"/>
                <w:szCs w:val="17"/>
              </w:rPr>
              <w:t>Benitos</w:t>
            </w:r>
            <w:proofErr w:type="spellEnd"/>
            <w:r w:rsidRPr="001045B7">
              <w:rPr>
                <w:rFonts w:asciiTheme="minorHAnsi" w:hAnsiTheme="minorHAnsi" w:cstheme="minorHAnsi"/>
                <w:sz w:val="17"/>
                <w:szCs w:val="17"/>
              </w:rPr>
              <w:t>"</w:t>
            </w:r>
          </w:p>
        </w:tc>
        <w:tc>
          <w:tcPr>
            <w:tcW w:w="1134" w:type="dxa"/>
            <w:tcBorders>
              <w:top w:val="single" w:sz="4" w:space="0" w:color="auto"/>
              <w:left w:val="nil"/>
              <w:bottom w:val="single" w:sz="4" w:space="0" w:color="auto"/>
              <w:right w:val="single" w:sz="4" w:space="0" w:color="auto"/>
            </w:tcBorders>
            <w:shd w:val="clear" w:color="auto" w:fill="auto"/>
          </w:tcPr>
          <w:p w14:paraId="7C840B5C" w14:textId="66E8ABA5" w:rsidR="00D13F80" w:rsidRPr="001045B7" w:rsidRDefault="00D13F80" w:rsidP="00D13F80">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50,007</w:t>
            </w:r>
          </w:p>
        </w:tc>
      </w:tr>
      <w:tr w:rsidR="007873F4" w:rsidRPr="001045B7" w14:paraId="50C9EF8E" w14:textId="77777777" w:rsidTr="00D13F80">
        <w:trPr>
          <w:trHeight w:val="70"/>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9FC89" w14:textId="372BE25B" w:rsidR="007873F4" w:rsidRPr="001045B7" w:rsidRDefault="00EB6731" w:rsidP="007873F4">
            <w:p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t>Secretarí</w:t>
            </w:r>
            <w:r w:rsidR="007873F4" w:rsidRPr="001045B7">
              <w:rPr>
                <w:rFonts w:asciiTheme="minorHAnsi" w:hAnsiTheme="minorHAnsi" w:cstheme="minorHAnsi"/>
                <w:b/>
                <w:sz w:val="17"/>
                <w:szCs w:val="17"/>
              </w:rPr>
              <w:t>a de la Contraloría</w:t>
            </w:r>
          </w:p>
        </w:tc>
      </w:tr>
      <w:tr w:rsidR="007873F4" w:rsidRPr="001045B7" w14:paraId="2914E4FF" w14:textId="77777777" w:rsidTr="00D13F80">
        <w:trPr>
          <w:trHeight w:val="58"/>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6DF807FB" w14:textId="77777777" w:rsidR="007873F4" w:rsidRPr="001045B7" w:rsidRDefault="007873F4" w:rsidP="007873F4">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Ciudad Industrial Benito Juárez (</w:t>
            </w:r>
            <w:proofErr w:type="spellStart"/>
            <w:r w:rsidRPr="001045B7">
              <w:rPr>
                <w:rFonts w:asciiTheme="minorHAnsi" w:hAnsiTheme="minorHAnsi" w:cstheme="minorHAnsi"/>
                <w:sz w:val="17"/>
                <w:szCs w:val="17"/>
              </w:rPr>
              <w:t>FIDEQRO</w:t>
            </w:r>
            <w:proofErr w:type="spellEnd"/>
            <w:r w:rsidRPr="001045B7">
              <w:rPr>
                <w:rFonts w:asciiTheme="minorHAnsi" w:hAnsiTheme="minorHAnsi" w:cstheme="minorHAnsi"/>
                <w:sz w:val="17"/>
                <w:szCs w:val="17"/>
              </w:rPr>
              <w:t>)</w:t>
            </w:r>
          </w:p>
        </w:tc>
        <w:tc>
          <w:tcPr>
            <w:tcW w:w="1134" w:type="dxa"/>
            <w:tcBorders>
              <w:top w:val="single" w:sz="4" w:space="0" w:color="auto"/>
              <w:left w:val="nil"/>
              <w:bottom w:val="single" w:sz="4" w:space="0" w:color="auto"/>
              <w:right w:val="single" w:sz="4" w:space="0" w:color="auto"/>
            </w:tcBorders>
            <w:shd w:val="clear" w:color="auto" w:fill="auto"/>
          </w:tcPr>
          <w:p w14:paraId="5F570984" w14:textId="2D0E6172" w:rsidR="007873F4" w:rsidRPr="001045B7" w:rsidRDefault="00D6671F" w:rsidP="007873F4">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618,030</w:t>
            </w:r>
          </w:p>
        </w:tc>
      </w:tr>
      <w:tr w:rsidR="007873F4" w:rsidRPr="001045B7" w14:paraId="577CB3E2" w14:textId="77777777" w:rsidTr="00D13F80">
        <w:trPr>
          <w:trHeight w:val="70"/>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1CE86" w14:textId="4D9B6CCC" w:rsidR="007873F4" w:rsidRPr="001045B7" w:rsidRDefault="00EB6731" w:rsidP="007873F4">
            <w:p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t>Secretarí</w:t>
            </w:r>
            <w:r w:rsidR="007873F4" w:rsidRPr="001045B7">
              <w:rPr>
                <w:rFonts w:asciiTheme="minorHAnsi" w:hAnsiTheme="minorHAnsi" w:cstheme="minorHAnsi"/>
                <w:b/>
                <w:sz w:val="17"/>
                <w:szCs w:val="17"/>
              </w:rPr>
              <w:t>a de Turismo</w:t>
            </w:r>
          </w:p>
        </w:tc>
      </w:tr>
      <w:tr w:rsidR="007873F4" w:rsidRPr="001045B7" w14:paraId="5E966D2F"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660DD0B2" w14:textId="77777777" w:rsidR="007873F4" w:rsidRPr="001045B7" w:rsidRDefault="007873F4" w:rsidP="007873F4">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Promotor de Turismo en el Estado de Querétaro (</w:t>
            </w:r>
            <w:proofErr w:type="spellStart"/>
            <w:r w:rsidRPr="001045B7">
              <w:rPr>
                <w:rFonts w:asciiTheme="minorHAnsi" w:hAnsiTheme="minorHAnsi" w:cstheme="minorHAnsi"/>
                <w:sz w:val="17"/>
                <w:szCs w:val="17"/>
              </w:rPr>
              <w:t>FIPROTUR</w:t>
            </w:r>
            <w:proofErr w:type="spellEnd"/>
            <w:r w:rsidRPr="001045B7">
              <w:rPr>
                <w:rFonts w:asciiTheme="minorHAnsi" w:hAnsiTheme="minorHAnsi" w:cstheme="minorHAnsi"/>
                <w:sz w:val="17"/>
                <w:szCs w:val="17"/>
              </w:rPr>
              <w:t>)</w:t>
            </w:r>
          </w:p>
        </w:tc>
        <w:tc>
          <w:tcPr>
            <w:tcW w:w="1134" w:type="dxa"/>
            <w:tcBorders>
              <w:top w:val="single" w:sz="4" w:space="0" w:color="auto"/>
              <w:left w:val="nil"/>
              <w:bottom w:val="single" w:sz="4" w:space="0" w:color="auto"/>
              <w:right w:val="single" w:sz="4" w:space="0" w:color="auto"/>
            </w:tcBorders>
            <w:shd w:val="clear" w:color="auto" w:fill="auto"/>
          </w:tcPr>
          <w:p w14:paraId="3B0C3693" w14:textId="350EF1F7" w:rsidR="007873F4" w:rsidRPr="001045B7" w:rsidRDefault="00D6671F" w:rsidP="007873F4">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2,593,460</w:t>
            </w:r>
          </w:p>
        </w:tc>
      </w:tr>
      <w:tr w:rsidR="007873F4" w:rsidRPr="001045B7" w14:paraId="0AE78AE8" w14:textId="77777777" w:rsidTr="00D13F80">
        <w:trPr>
          <w:trHeight w:val="70"/>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E77E5D" w14:textId="64EFF254" w:rsidR="007873F4" w:rsidRPr="001045B7" w:rsidRDefault="00EB6731" w:rsidP="007873F4">
            <w:p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t>Secretarí</w:t>
            </w:r>
            <w:r w:rsidR="007873F4" w:rsidRPr="001045B7">
              <w:rPr>
                <w:rFonts w:asciiTheme="minorHAnsi" w:hAnsiTheme="minorHAnsi" w:cstheme="minorHAnsi"/>
                <w:b/>
                <w:sz w:val="17"/>
                <w:szCs w:val="17"/>
              </w:rPr>
              <w:t>a de Desarrollo Agropecuario</w:t>
            </w:r>
          </w:p>
        </w:tc>
      </w:tr>
      <w:tr w:rsidR="00656298" w:rsidRPr="001045B7" w14:paraId="06004D1B"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6FC8A6F1" w14:textId="6EB35DBD" w:rsidR="00656298" w:rsidRPr="001045B7" w:rsidRDefault="00656298" w:rsidP="00656298">
            <w:pPr>
              <w:spacing w:line="276" w:lineRule="auto"/>
              <w:rPr>
                <w:rFonts w:asciiTheme="minorHAnsi" w:hAnsiTheme="minorHAnsi" w:cstheme="minorHAnsi"/>
                <w:sz w:val="17"/>
                <w:szCs w:val="17"/>
              </w:rPr>
            </w:pPr>
            <w:r w:rsidRPr="001045B7">
              <w:rPr>
                <w:rFonts w:asciiTheme="minorHAnsi" w:hAnsiTheme="minorHAnsi" w:cstheme="minorHAnsi"/>
                <w:sz w:val="17"/>
                <w:szCs w:val="17"/>
              </w:rPr>
              <w:t>Fondo de Fomento Agropecuario del Estado de Querétaro (</w:t>
            </w:r>
            <w:proofErr w:type="spellStart"/>
            <w:r w:rsidRPr="001045B7">
              <w:rPr>
                <w:rFonts w:asciiTheme="minorHAnsi" w:hAnsiTheme="minorHAnsi" w:cstheme="minorHAnsi"/>
                <w:sz w:val="17"/>
                <w:szCs w:val="17"/>
              </w:rPr>
              <w:t>FOFAE</w:t>
            </w:r>
            <w:proofErr w:type="spellEnd"/>
            <w:r w:rsidRPr="001045B7">
              <w:rPr>
                <w:rFonts w:asciiTheme="minorHAnsi" w:hAnsiTheme="minorHAnsi" w:cstheme="minorHAnsi"/>
                <w:sz w:val="17"/>
                <w:szCs w:val="17"/>
              </w:rPr>
              <w:t>)</w:t>
            </w:r>
          </w:p>
        </w:tc>
        <w:tc>
          <w:tcPr>
            <w:tcW w:w="1134" w:type="dxa"/>
            <w:tcBorders>
              <w:top w:val="single" w:sz="4" w:space="0" w:color="auto"/>
              <w:left w:val="nil"/>
              <w:bottom w:val="single" w:sz="4" w:space="0" w:color="auto"/>
              <w:right w:val="single" w:sz="4" w:space="0" w:color="auto"/>
            </w:tcBorders>
            <w:shd w:val="clear" w:color="auto" w:fill="auto"/>
          </w:tcPr>
          <w:p w14:paraId="7FB96262" w14:textId="501F958D" w:rsidR="00656298" w:rsidRPr="001045B7" w:rsidRDefault="00656298" w:rsidP="00656298">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111,925</w:t>
            </w:r>
          </w:p>
        </w:tc>
      </w:tr>
      <w:tr w:rsidR="00656298" w:rsidRPr="001045B7" w14:paraId="6DCEE710"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3BF3C651" w14:textId="69C93D34" w:rsidR="00656298" w:rsidRPr="001045B7" w:rsidRDefault="00656298" w:rsidP="00656298">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Fondo de Diversificación Productiva en la Sierra Gorda</w:t>
            </w:r>
          </w:p>
        </w:tc>
        <w:tc>
          <w:tcPr>
            <w:tcW w:w="1134" w:type="dxa"/>
            <w:tcBorders>
              <w:top w:val="single" w:sz="4" w:space="0" w:color="auto"/>
              <w:left w:val="nil"/>
              <w:bottom w:val="single" w:sz="4" w:space="0" w:color="auto"/>
              <w:right w:val="single" w:sz="4" w:space="0" w:color="auto"/>
            </w:tcBorders>
            <w:shd w:val="clear" w:color="auto" w:fill="auto"/>
          </w:tcPr>
          <w:p w14:paraId="120BE7F9" w14:textId="272403EF" w:rsidR="00656298" w:rsidRPr="001045B7" w:rsidRDefault="00656298" w:rsidP="00656298">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1,335,608</w:t>
            </w:r>
          </w:p>
        </w:tc>
      </w:tr>
      <w:tr w:rsidR="00656298" w:rsidRPr="001045B7" w14:paraId="6E9598D9" w14:textId="77777777" w:rsidTr="00D13F80">
        <w:trPr>
          <w:trHeight w:val="27"/>
          <w:jc w:val="center"/>
        </w:trPr>
        <w:tc>
          <w:tcPr>
            <w:tcW w:w="8664" w:type="dxa"/>
            <w:tcBorders>
              <w:top w:val="single" w:sz="4" w:space="0" w:color="auto"/>
              <w:left w:val="single" w:sz="4" w:space="0" w:color="auto"/>
              <w:bottom w:val="single" w:sz="4" w:space="0" w:color="auto"/>
              <w:right w:val="single" w:sz="4" w:space="0" w:color="auto"/>
            </w:tcBorders>
            <w:shd w:val="clear" w:color="auto" w:fill="auto"/>
          </w:tcPr>
          <w:p w14:paraId="35834614" w14:textId="40740C20" w:rsidR="00656298" w:rsidRPr="001045B7" w:rsidRDefault="00656298" w:rsidP="00656298">
            <w:pPr>
              <w:spacing w:line="276" w:lineRule="auto"/>
              <w:rPr>
                <w:rFonts w:asciiTheme="minorHAnsi" w:hAnsiTheme="minorHAnsi" w:cstheme="minorHAnsi"/>
                <w:sz w:val="17"/>
                <w:szCs w:val="17"/>
              </w:rPr>
            </w:pPr>
            <w:r w:rsidRPr="001045B7">
              <w:rPr>
                <w:rFonts w:asciiTheme="minorHAnsi" w:hAnsiTheme="minorHAnsi" w:cstheme="minorHAnsi"/>
                <w:sz w:val="17"/>
                <w:szCs w:val="17"/>
              </w:rPr>
              <w:t>Fideicomiso de Garantía para Proyectos Productivos del Estado de Querétaro (</w:t>
            </w:r>
            <w:proofErr w:type="spellStart"/>
            <w:r w:rsidRPr="001045B7">
              <w:rPr>
                <w:rFonts w:asciiTheme="minorHAnsi" w:hAnsiTheme="minorHAnsi" w:cstheme="minorHAnsi"/>
                <w:sz w:val="17"/>
                <w:szCs w:val="17"/>
              </w:rPr>
              <w:t>FIGAPPEQ</w:t>
            </w:r>
            <w:proofErr w:type="spellEnd"/>
            <w:r w:rsidRPr="001045B7">
              <w:rPr>
                <w:rFonts w:asciiTheme="minorHAnsi" w:hAnsiTheme="minorHAnsi" w:cstheme="minorHAnsi"/>
                <w:sz w:val="17"/>
                <w:szCs w:val="17"/>
              </w:rPr>
              <w:t>)</w:t>
            </w:r>
          </w:p>
        </w:tc>
        <w:tc>
          <w:tcPr>
            <w:tcW w:w="1134" w:type="dxa"/>
            <w:tcBorders>
              <w:top w:val="single" w:sz="4" w:space="0" w:color="auto"/>
              <w:left w:val="nil"/>
              <w:bottom w:val="single" w:sz="4" w:space="0" w:color="auto"/>
              <w:right w:val="single" w:sz="4" w:space="0" w:color="auto"/>
            </w:tcBorders>
            <w:shd w:val="clear" w:color="auto" w:fill="auto"/>
          </w:tcPr>
          <w:p w14:paraId="08242B16" w14:textId="48E85BF5" w:rsidR="00656298" w:rsidRPr="001045B7" w:rsidRDefault="00656298" w:rsidP="00656298">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21,330,665</w:t>
            </w:r>
          </w:p>
        </w:tc>
      </w:tr>
      <w:tr w:rsidR="007873F4" w:rsidRPr="001045B7" w14:paraId="77D45E30" w14:textId="77777777" w:rsidTr="00D13F80">
        <w:trPr>
          <w:trHeight w:val="70"/>
          <w:jc w:val="center"/>
        </w:trPr>
        <w:tc>
          <w:tcPr>
            <w:tcW w:w="8664"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861DDF3" w14:textId="77777777" w:rsidR="007873F4" w:rsidRPr="001045B7" w:rsidRDefault="007873F4" w:rsidP="007873F4">
            <w:pPr>
              <w:spacing w:line="276" w:lineRule="auto"/>
              <w:jc w:val="cente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Total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CA64A" w14:textId="136BA17B" w:rsidR="007873F4" w:rsidRPr="001045B7" w:rsidRDefault="00693DA1" w:rsidP="007873F4">
            <w:pPr>
              <w:spacing w:line="276" w:lineRule="auto"/>
              <w:jc w:val="right"/>
              <w:rPr>
                <w:rFonts w:asciiTheme="minorHAnsi" w:hAnsiTheme="minorHAnsi" w:cstheme="minorHAnsi"/>
                <w:b/>
                <w:sz w:val="17"/>
                <w:szCs w:val="17"/>
              </w:rPr>
            </w:pPr>
            <w:r w:rsidRPr="001045B7">
              <w:rPr>
                <w:rFonts w:asciiTheme="minorHAnsi" w:hAnsiTheme="minorHAnsi" w:cstheme="minorHAnsi"/>
                <w:b/>
                <w:sz w:val="17"/>
                <w:szCs w:val="17"/>
              </w:rPr>
              <w:t>601,997,243</w:t>
            </w:r>
          </w:p>
        </w:tc>
      </w:tr>
    </w:tbl>
    <w:p w14:paraId="43BE9839" w14:textId="77777777" w:rsidR="007873F4" w:rsidRPr="001045B7" w:rsidRDefault="007873F4" w:rsidP="00860054">
      <w:pPr>
        <w:spacing w:line="276" w:lineRule="auto"/>
        <w:jc w:val="both"/>
        <w:rPr>
          <w:rFonts w:asciiTheme="minorHAnsi" w:hAnsiTheme="minorHAnsi" w:cstheme="minorHAnsi"/>
          <w:sz w:val="17"/>
          <w:szCs w:val="17"/>
        </w:rPr>
      </w:pPr>
    </w:p>
    <w:p w14:paraId="2F406684" w14:textId="77777777" w:rsidR="005D3CE8" w:rsidRPr="001045B7" w:rsidRDefault="005D3CE8" w:rsidP="00860054">
      <w:pPr>
        <w:spacing w:line="276" w:lineRule="auto"/>
        <w:jc w:val="both"/>
        <w:rPr>
          <w:rFonts w:asciiTheme="minorHAnsi" w:hAnsiTheme="minorHAnsi" w:cstheme="minorHAnsi"/>
          <w:b/>
          <w:sz w:val="17"/>
          <w:szCs w:val="17"/>
        </w:rPr>
      </w:pPr>
    </w:p>
    <w:p w14:paraId="0A5FD7BA" w14:textId="77777777" w:rsidR="005D3CE8" w:rsidRPr="001045B7" w:rsidRDefault="005D3CE8" w:rsidP="00860054">
      <w:pPr>
        <w:spacing w:line="276" w:lineRule="auto"/>
        <w:jc w:val="both"/>
        <w:rPr>
          <w:rFonts w:asciiTheme="minorHAnsi" w:hAnsiTheme="minorHAnsi" w:cstheme="minorHAnsi"/>
          <w:b/>
          <w:sz w:val="17"/>
          <w:szCs w:val="17"/>
        </w:rPr>
      </w:pPr>
    </w:p>
    <w:p w14:paraId="5147D51F" w14:textId="77777777" w:rsidR="005D3CE8" w:rsidRPr="001045B7" w:rsidRDefault="005D3CE8" w:rsidP="00860054">
      <w:pPr>
        <w:spacing w:line="276" w:lineRule="auto"/>
        <w:jc w:val="both"/>
        <w:rPr>
          <w:rFonts w:asciiTheme="minorHAnsi" w:hAnsiTheme="minorHAnsi" w:cstheme="minorHAnsi"/>
          <w:b/>
          <w:sz w:val="17"/>
          <w:szCs w:val="17"/>
        </w:rPr>
      </w:pPr>
    </w:p>
    <w:p w14:paraId="4FBBE24C" w14:textId="77777777" w:rsidR="005D3CE8" w:rsidRPr="001045B7" w:rsidRDefault="005D3CE8" w:rsidP="00860054">
      <w:pPr>
        <w:spacing w:line="276" w:lineRule="auto"/>
        <w:jc w:val="both"/>
        <w:rPr>
          <w:rFonts w:asciiTheme="minorHAnsi" w:hAnsiTheme="minorHAnsi" w:cstheme="minorHAnsi"/>
          <w:b/>
          <w:sz w:val="17"/>
          <w:szCs w:val="17"/>
        </w:rPr>
      </w:pPr>
    </w:p>
    <w:p w14:paraId="78955CC0" w14:textId="77777777" w:rsidR="005D3CE8" w:rsidRPr="001045B7" w:rsidRDefault="005D3CE8" w:rsidP="00860054">
      <w:pPr>
        <w:spacing w:line="276" w:lineRule="auto"/>
        <w:jc w:val="both"/>
        <w:rPr>
          <w:rFonts w:asciiTheme="minorHAnsi" w:hAnsiTheme="minorHAnsi" w:cstheme="minorHAnsi"/>
          <w:b/>
          <w:sz w:val="17"/>
          <w:szCs w:val="17"/>
        </w:rPr>
      </w:pPr>
    </w:p>
    <w:p w14:paraId="7E7FEB13" w14:textId="70DC22CA" w:rsidR="005D3CE8" w:rsidRDefault="005D3CE8" w:rsidP="00860054">
      <w:pPr>
        <w:spacing w:line="276" w:lineRule="auto"/>
        <w:jc w:val="both"/>
        <w:rPr>
          <w:rFonts w:asciiTheme="minorHAnsi" w:hAnsiTheme="minorHAnsi" w:cstheme="minorHAnsi"/>
          <w:b/>
          <w:sz w:val="17"/>
          <w:szCs w:val="17"/>
        </w:rPr>
      </w:pPr>
    </w:p>
    <w:p w14:paraId="482F9073" w14:textId="63C5695C" w:rsidR="00610592" w:rsidRDefault="00610592" w:rsidP="00860054">
      <w:pPr>
        <w:spacing w:line="276" w:lineRule="auto"/>
        <w:jc w:val="both"/>
        <w:rPr>
          <w:rFonts w:asciiTheme="minorHAnsi" w:hAnsiTheme="minorHAnsi" w:cstheme="minorHAnsi"/>
          <w:b/>
          <w:sz w:val="17"/>
          <w:szCs w:val="17"/>
        </w:rPr>
      </w:pPr>
    </w:p>
    <w:p w14:paraId="2767E99B" w14:textId="5879AA76" w:rsidR="00610592" w:rsidRDefault="00610592" w:rsidP="00860054">
      <w:pPr>
        <w:spacing w:line="276" w:lineRule="auto"/>
        <w:jc w:val="both"/>
        <w:rPr>
          <w:rFonts w:asciiTheme="minorHAnsi" w:hAnsiTheme="minorHAnsi" w:cstheme="minorHAnsi"/>
          <w:b/>
          <w:sz w:val="17"/>
          <w:szCs w:val="17"/>
        </w:rPr>
      </w:pPr>
    </w:p>
    <w:p w14:paraId="4E8D51D3" w14:textId="1E88E724" w:rsidR="00610592" w:rsidRDefault="00610592" w:rsidP="00860054">
      <w:pPr>
        <w:spacing w:line="276" w:lineRule="auto"/>
        <w:jc w:val="both"/>
        <w:rPr>
          <w:rFonts w:asciiTheme="minorHAnsi" w:hAnsiTheme="minorHAnsi" w:cstheme="minorHAnsi"/>
          <w:b/>
          <w:sz w:val="17"/>
          <w:szCs w:val="17"/>
        </w:rPr>
      </w:pPr>
    </w:p>
    <w:p w14:paraId="0518219B" w14:textId="09CDDC67" w:rsidR="00610592" w:rsidRDefault="00610592" w:rsidP="00860054">
      <w:pPr>
        <w:spacing w:line="276" w:lineRule="auto"/>
        <w:jc w:val="both"/>
        <w:rPr>
          <w:rFonts w:asciiTheme="minorHAnsi" w:hAnsiTheme="minorHAnsi" w:cstheme="minorHAnsi"/>
          <w:b/>
          <w:sz w:val="17"/>
          <w:szCs w:val="17"/>
        </w:rPr>
      </w:pPr>
    </w:p>
    <w:p w14:paraId="398D0B86" w14:textId="72FFDEAE" w:rsidR="00610592" w:rsidRDefault="00610592" w:rsidP="00860054">
      <w:pPr>
        <w:spacing w:line="276" w:lineRule="auto"/>
        <w:jc w:val="both"/>
        <w:rPr>
          <w:rFonts w:asciiTheme="minorHAnsi" w:hAnsiTheme="minorHAnsi" w:cstheme="minorHAnsi"/>
          <w:b/>
          <w:sz w:val="17"/>
          <w:szCs w:val="17"/>
        </w:rPr>
      </w:pPr>
    </w:p>
    <w:p w14:paraId="5D0EB298" w14:textId="17E654F3" w:rsidR="00610592" w:rsidRDefault="00610592" w:rsidP="00860054">
      <w:pPr>
        <w:spacing w:line="276" w:lineRule="auto"/>
        <w:jc w:val="both"/>
        <w:rPr>
          <w:rFonts w:asciiTheme="minorHAnsi" w:hAnsiTheme="minorHAnsi" w:cstheme="minorHAnsi"/>
          <w:b/>
          <w:sz w:val="17"/>
          <w:szCs w:val="17"/>
        </w:rPr>
      </w:pPr>
    </w:p>
    <w:p w14:paraId="7A55BF0C" w14:textId="468F2838" w:rsidR="00610592" w:rsidRDefault="00610592" w:rsidP="00860054">
      <w:pPr>
        <w:spacing w:line="276" w:lineRule="auto"/>
        <w:jc w:val="both"/>
        <w:rPr>
          <w:rFonts w:asciiTheme="minorHAnsi" w:hAnsiTheme="minorHAnsi" w:cstheme="minorHAnsi"/>
          <w:b/>
          <w:sz w:val="17"/>
          <w:szCs w:val="17"/>
        </w:rPr>
      </w:pPr>
    </w:p>
    <w:p w14:paraId="7D06C5BB" w14:textId="77777777" w:rsidR="00610592" w:rsidRPr="001045B7" w:rsidRDefault="00610592" w:rsidP="00860054">
      <w:pPr>
        <w:spacing w:line="276" w:lineRule="auto"/>
        <w:jc w:val="both"/>
        <w:rPr>
          <w:rFonts w:asciiTheme="minorHAnsi" w:hAnsiTheme="minorHAnsi" w:cstheme="minorHAnsi"/>
          <w:b/>
          <w:sz w:val="17"/>
          <w:szCs w:val="17"/>
        </w:rPr>
      </w:pPr>
    </w:p>
    <w:p w14:paraId="06C032A3" w14:textId="77777777" w:rsidR="00224CA5" w:rsidRPr="001045B7" w:rsidRDefault="00224CA5" w:rsidP="00860054">
      <w:pPr>
        <w:spacing w:line="276" w:lineRule="auto"/>
        <w:jc w:val="both"/>
        <w:rPr>
          <w:rFonts w:asciiTheme="minorHAnsi" w:hAnsiTheme="minorHAnsi" w:cstheme="minorHAnsi"/>
          <w:b/>
          <w:sz w:val="17"/>
          <w:szCs w:val="17"/>
        </w:rPr>
      </w:pPr>
    </w:p>
    <w:p w14:paraId="7AC4868B" w14:textId="4FD057AC" w:rsidR="000512CA" w:rsidRPr="001045B7" w:rsidRDefault="00E54130" w:rsidP="00860054">
      <w:p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Participaciones y Aportaciones de Capital se tiene lo siguiente:</w:t>
      </w:r>
    </w:p>
    <w:p w14:paraId="722E5782" w14:textId="2AD9776F" w:rsidR="007873F4" w:rsidRPr="001045B7" w:rsidRDefault="007873F4" w:rsidP="00860054">
      <w:pPr>
        <w:spacing w:line="276" w:lineRule="auto"/>
        <w:jc w:val="both"/>
        <w:rPr>
          <w:rFonts w:asciiTheme="minorHAnsi" w:hAnsiTheme="minorHAnsi" w:cstheme="minorHAnsi"/>
          <w:b/>
          <w:sz w:val="17"/>
          <w:szCs w:val="17"/>
        </w:rPr>
      </w:pPr>
    </w:p>
    <w:p w14:paraId="73C7B74F" w14:textId="77777777" w:rsidR="00224CA5" w:rsidRPr="001045B7" w:rsidRDefault="00224CA5" w:rsidP="00860054">
      <w:pPr>
        <w:spacing w:line="276" w:lineRule="auto"/>
        <w:jc w:val="both"/>
        <w:rPr>
          <w:rFonts w:asciiTheme="minorHAnsi" w:hAnsiTheme="minorHAnsi" w:cstheme="minorHAnsi"/>
          <w:b/>
          <w:sz w:val="17"/>
          <w:szCs w:val="17"/>
        </w:rPr>
      </w:pPr>
    </w:p>
    <w:tbl>
      <w:tblPr>
        <w:tblpPr w:leftFromText="141" w:rightFromText="141" w:vertAnchor="text" w:horzAnchor="page" w:tblpX="1917" w:tblpY="-58"/>
        <w:tblW w:w="11761" w:type="dxa"/>
        <w:tblLayout w:type="fixed"/>
        <w:tblCellMar>
          <w:left w:w="70" w:type="dxa"/>
          <w:right w:w="70" w:type="dxa"/>
        </w:tblCellMar>
        <w:tblLook w:val="04A0" w:firstRow="1" w:lastRow="0" w:firstColumn="1" w:lastColumn="0" w:noHBand="0" w:noVBand="1"/>
      </w:tblPr>
      <w:tblGrid>
        <w:gridCol w:w="1526"/>
        <w:gridCol w:w="8822"/>
        <w:gridCol w:w="1413"/>
      </w:tblGrid>
      <w:tr w:rsidR="0015534B" w:rsidRPr="001045B7" w14:paraId="1CCF0912" w14:textId="77777777" w:rsidTr="00DF6167">
        <w:trPr>
          <w:trHeight w:val="70"/>
        </w:trPr>
        <w:tc>
          <w:tcPr>
            <w:tcW w:w="152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2FD4864C" w14:textId="77777777" w:rsidR="0015534B" w:rsidRPr="001045B7" w:rsidRDefault="0015534B" w:rsidP="00DF6167">
            <w:pPr>
              <w:spacing w:line="276" w:lineRule="auto"/>
              <w:jc w:val="center"/>
              <w:rPr>
                <w:rFonts w:asciiTheme="minorHAnsi" w:hAnsiTheme="minorHAnsi" w:cstheme="minorHAnsi"/>
                <w:b/>
                <w:bCs/>
                <w:color w:val="000000"/>
                <w:sz w:val="16"/>
                <w:szCs w:val="16"/>
              </w:rPr>
            </w:pPr>
            <w:r w:rsidRPr="001045B7">
              <w:rPr>
                <w:rFonts w:asciiTheme="minorHAnsi" w:hAnsiTheme="minorHAnsi" w:cstheme="minorHAnsi"/>
                <w:b/>
                <w:bCs/>
                <w:color w:val="000000"/>
                <w:sz w:val="16"/>
                <w:szCs w:val="16"/>
              </w:rPr>
              <w:t>12141</w:t>
            </w:r>
          </w:p>
        </w:tc>
        <w:tc>
          <w:tcPr>
            <w:tcW w:w="882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730DDD1" w14:textId="77777777" w:rsidR="0015534B" w:rsidRPr="001045B7" w:rsidRDefault="0015534B" w:rsidP="00DF6167">
            <w:pPr>
              <w:spacing w:line="276" w:lineRule="auto"/>
              <w:jc w:val="center"/>
              <w:rPr>
                <w:rFonts w:asciiTheme="minorHAnsi" w:hAnsiTheme="minorHAnsi" w:cstheme="minorHAnsi"/>
                <w:b/>
                <w:bCs/>
                <w:color w:val="000000"/>
                <w:sz w:val="16"/>
                <w:szCs w:val="16"/>
              </w:rPr>
            </w:pPr>
            <w:r w:rsidRPr="001045B7">
              <w:rPr>
                <w:rFonts w:asciiTheme="minorHAnsi" w:hAnsiTheme="minorHAnsi" w:cstheme="minorHAnsi"/>
                <w:b/>
                <w:bCs/>
                <w:color w:val="000000"/>
                <w:sz w:val="16"/>
                <w:szCs w:val="16"/>
              </w:rPr>
              <w:t>Participaciones y Aportaciones de Capital a Largo Plazo en el Sector Público</w:t>
            </w:r>
          </w:p>
        </w:tc>
        <w:tc>
          <w:tcPr>
            <w:tcW w:w="1413"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8BA43FC" w14:textId="4507CC97" w:rsidR="0015534B" w:rsidRPr="001045B7" w:rsidRDefault="00CF7594" w:rsidP="00DF6167">
            <w:pPr>
              <w:spacing w:line="276" w:lineRule="auto"/>
              <w:jc w:val="right"/>
              <w:rPr>
                <w:rFonts w:asciiTheme="minorHAnsi" w:hAnsiTheme="minorHAnsi" w:cstheme="minorHAnsi"/>
                <w:b/>
                <w:bCs/>
                <w:color w:val="000000"/>
                <w:sz w:val="16"/>
                <w:szCs w:val="16"/>
              </w:rPr>
            </w:pPr>
            <w:r w:rsidRPr="001045B7">
              <w:rPr>
                <w:rFonts w:asciiTheme="minorHAnsi" w:hAnsiTheme="minorHAnsi" w:cstheme="minorHAnsi"/>
                <w:b/>
                <w:bCs/>
                <w:color w:val="000000"/>
                <w:sz w:val="16"/>
                <w:szCs w:val="16"/>
              </w:rPr>
              <w:t>28,506,575,138</w:t>
            </w:r>
          </w:p>
        </w:tc>
      </w:tr>
      <w:tr w:rsidR="008E08D2" w:rsidRPr="001045B7" w14:paraId="0BE3AD9F"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DD959C8" w14:textId="6BEB4754"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Aeropuerto Intercontinental de Querétaro, S.A. de C.V.</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655FD4F" w14:textId="268A70DA"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556,139,377</w:t>
            </w:r>
          </w:p>
        </w:tc>
      </w:tr>
      <w:tr w:rsidR="008E08D2" w:rsidRPr="001045B7" w14:paraId="234B3B64"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9BA804" w14:textId="42D45629"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Secretaria Ejecutiva del Sistema Estatal Anticorrupción</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7898F4C" w14:textId="25F38CC2" w:rsidR="008E08D2" w:rsidRPr="001045B7" w:rsidRDefault="008E08D2" w:rsidP="008E08D2">
            <w:pPr>
              <w:spacing w:line="276" w:lineRule="auto"/>
              <w:jc w:val="right"/>
              <w:rPr>
                <w:rFonts w:asciiTheme="minorHAnsi" w:hAnsiTheme="minorHAnsi" w:cstheme="minorHAnsi"/>
                <w:color w:val="000000"/>
                <w:sz w:val="16"/>
                <w:szCs w:val="16"/>
              </w:rPr>
            </w:pPr>
            <w:r w:rsidRPr="001045B7">
              <w:rPr>
                <w:rFonts w:asciiTheme="minorHAnsi" w:hAnsiTheme="minorHAnsi" w:cstheme="minorHAnsi"/>
                <w:sz w:val="16"/>
                <w:szCs w:val="16"/>
              </w:rPr>
              <w:t>3,494,766</w:t>
            </w:r>
          </w:p>
        </w:tc>
      </w:tr>
      <w:tr w:rsidR="008E08D2" w:rsidRPr="001045B7" w14:paraId="78CDC372"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322A92" w14:textId="404704BA"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Comisión Estatal de Aguas</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797E234" w14:textId="67F3F138" w:rsidR="008E08D2" w:rsidRPr="001045B7" w:rsidRDefault="008E08D2" w:rsidP="008E08D2">
            <w:pPr>
              <w:spacing w:line="276" w:lineRule="auto"/>
              <w:jc w:val="right"/>
              <w:rPr>
                <w:rFonts w:asciiTheme="minorHAnsi" w:hAnsiTheme="minorHAnsi" w:cstheme="minorHAnsi"/>
                <w:color w:val="000000"/>
                <w:sz w:val="16"/>
                <w:szCs w:val="16"/>
              </w:rPr>
            </w:pPr>
            <w:r w:rsidRPr="001045B7">
              <w:rPr>
                <w:rFonts w:asciiTheme="minorHAnsi" w:hAnsiTheme="minorHAnsi" w:cstheme="minorHAnsi"/>
                <w:sz w:val="16"/>
                <w:szCs w:val="16"/>
              </w:rPr>
              <w:t>8,955,728,212</w:t>
            </w:r>
          </w:p>
        </w:tc>
      </w:tr>
      <w:tr w:rsidR="008E08D2" w:rsidRPr="001045B7" w14:paraId="371FA9E6"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CFF576" w14:textId="1FBF5863"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Colegio de Estudios Científicos y Tecnológicos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D086BE3" w14:textId="64C810CA" w:rsidR="008E08D2" w:rsidRPr="001045B7" w:rsidRDefault="008E08D2" w:rsidP="008E08D2">
            <w:pPr>
              <w:spacing w:line="276" w:lineRule="auto"/>
              <w:jc w:val="right"/>
              <w:rPr>
                <w:rFonts w:asciiTheme="minorHAnsi" w:hAnsiTheme="minorHAnsi" w:cstheme="minorHAnsi"/>
                <w:color w:val="000000"/>
                <w:sz w:val="16"/>
                <w:szCs w:val="16"/>
              </w:rPr>
            </w:pPr>
            <w:r w:rsidRPr="001045B7">
              <w:rPr>
                <w:rFonts w:asciiTheme="minorHAnsi" w:hAnsiTheme="minorHAnsi" w:cstheme="minorHAnsi"/>
                <w:sz w:val="16"/>
                <w:szCs w:val="16"/>
              </w:rPr>
              <w:t>567,959,110</w:t>
            </w:r>
          </w:p>
        </w:tc>
      </w:tr>
      <w:tr w:rsidR="008E08D2" w:rsidRPr="001045B7" w14:paraId="0EC5B99C"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C5AC81" w14:textId="26A85F16"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Comisión Estatal de Infraestructura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E77A36F" w14:textId="5BB8E943" w:rsidR="008E08D2" w:rsidRPr="001045B7" w:rsidRDefault="008E08D2" w:rsidP="008E08D2">
            <w:pPr>
              <w:spacing w:line="276" w:lineRule="auto"/>
              <w:jc w:val="right"/>
              <w:rPr>
                <w:rFonts w:asciiTheme="minorHAnsi" w:hAnsiTheme="minorHAnsi" w:cstheme="minorHAnsi"/>
                <w:color w:val="000000"/>
                <w:sz w:val="16"/>
                <w:szCs w:val="16"/>
              </w:rPr>
            </w:pPr>
            <w:r w:rsidRPr="001045B7">
              <w:rPr>
                <w:rFonts w:asciiTheme="minorHAnsi" w:hAnsiTheme="minorHAnsi" w:cstheme="minorHAnsi"/>
                <w:sz w:val="16"/>
                <w:szCs w:val="16"/>
              </w:rPr>
              <w:t>607,846,795</w:t>
            </w:r>
          </w:p>
        </w:tc>
      </w:tr>
      <w:tr w:rsidR="008E08D2" w:rsidRPr="001045B7" w14:paraId="39E7E601"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9F0F2CD" w14:textId="37D236FD"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Centro Estatal de Trasplantes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B9F50B4" w14:textId="51A58064"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307,818</w:t>
            </w:r>
          </w:p>
        </w:tc>
      </w:tr>
      <w:tr w:rsidR="008E08D2" w:rsidRPr="001045B7" w14:paraId="1B1A702E"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4D6E36E" w14:textId="63569F68"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Colegio de Bachilleres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2DFB473" w14:textId="45329791"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1,148,706,617</w:t>
            </w:r>
          </w:p>
        </w:tc>
      </w:tr>
      <w:tr w:rsidR="008E08D2" w:rsidRPr="001045B7" w14:paraId="4B0C6F05"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466C9F3C" w14:textId="6D74C84C"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Comisión para el Fomento Económico de las Empresas del Sector Industrial, Comercial y de Servicios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025892D" w14:textId="71F07DDC"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2,508,254</w:t>
            </w:r>
          </w:p>
        </w:tc>
      </w:tr>
      <w:tr w:rsidR="008E08D2" w:rsidRPr="001045B7" w14:paraId="6C34AE36"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D1E9890" w14:textId="0F939E46"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Colegio de Educación Profesional Técnica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9CF9931" w14:textId="7CE72CD6"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280,284,808</w:t>
            </w:r>
          </w:p>
        </w:tc>
      </w:tr>
      <w:tr w:rsidR="008E08D2" w:rsidRPr="001045B7" w14:paraId="328DDD0B"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BEAEE13" w14:textId="3C89A949"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Consejo de Ciencia y Tecnología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EBC22C0" w14:textId="393169A4"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120,805,047</w:t>
            </w:r>
          </w:p>
        </w:tc>
      </w:tr>
      <w:tr w:rsidR="008E08D2" w:rsidRPr="001045B7" w14:paraId="1653BBE1"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8F0F969" w14:textId="3E734D35"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Casa Queretana de las Artesanías</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F9D084A" w14:textId="2431B21B"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6,226,465</w:t>
            </w:r>
          </w:p>
        </w:tc>
      </w:tr>
      <w:tr w:rsidR="008E08D2" w:rsidRPr="001045B7" w14:paraId="2B8CF07B"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33835D9" w14:textId="5A769355"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Sistema para el Desarrollo Integral de la Familia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E76B865" w14:textId="7DD6F355"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248,166,183</w:t>
            </w:r>
          </w:p>
        </w:tc>
      </w:tr>
      <w:tr w:rsidR="008E08D2" w:rsidRPr="001045B7" w14:paraId="42323E9F"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E42F177" w14:textId="109DD713"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Instituto de Capacitación para el Trabajo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9364642" w14:textId="39D6358F"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93,947,961</w:t>
            </w:r>
          </w:p>
        </w:tc>
      </w:tr>
      <w:tr w:rsidR="008E08D2" w:rsidRPr="001045B7" w14:paraId="78790193"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C994224" w14:textId="26655FF6"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Instituto de Infraestructura Física Educativa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E8B1387" w14:textId="398A8620"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160,516,435</w:t>
            </w:r>
          </w:p>
        </w:tc>
      </w:tr>
      <w:tr w:rsidR="008E08D2" w:rsidRPr="001045B7" w14:paraId="6346462A"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53E54F2" w14:textId="7D4C1BAA"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Instituto de Artes y Oficios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34D9B29" w14:textId="62E901AA"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4,778,735</w:t>
            </w:r>
          </w:p>
        </w:tc>
      </w:tr>
      <w:tr w:rsidR="008E08D2" w:rsidRPr="001045B7" w14:paraId="481FFBCB"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9FEA409" w14:textId="16612BA3"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Instituto Queretano de las Mujeres</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8E79A86" w14:textId="5E50FC44"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10,452</w:t>
            </w:r>
          </w:p>
        </w:tc>
      </w:tr>
      <w:tr w:rsidR="008E08D2" w:rsidRPr="001045B7" w14:paraId="20559002"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E0B70EB" w14:textId="39FA2008"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 xml:space="preserve">Agencia de Movilidad del Estado de Querétaro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7F79680" w14:textId="1179CACF"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2,232,240,406</w:t>
            </w:r>
          </w:p>
        </w:tc>
      </w:tr>
      <w:tr w:rsidR="008E08D2" w:rsidRPr="001045B7" w14:paraId="3FF63D75"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D825899" w14:textId="4E59C4B2"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Instituto de la Vivienda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C8D9E14" w14:textId="5B190959"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416,437,471</w:t>
            </w:r>
          </w:p>
        </w:tc>
      </w:tr>
      <w:tr w:rsidR="008E08D2" w:rsidRPr="001045B7" w14:paraId="75FBAAAA"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4A08353" w14:textId="0FBEEDC3"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Procuraduría Estatal de Protección al Medio Ambiente y Desarrollo Urbano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CDAEE7A" w14:textId="5A7E6098"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1,040,649</w:t>
            </w:r>
          </w:p>
        </w:tc>
      </w:tr>
      <w:tr w:rsidR="008E08D2" w:rsidRPr="001045B7" w14:paraId="13F35224"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2CF2EC6" w14:textId="3A0E78FC"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Patronato de las Fiestas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14234DF" w14:textId="4BD227DC"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1,227,893</w:t>
            </w:r>
          </w:p>
        </w:tc>
      </w:tr>
      <w:tr w:rsidR="008E08D2" w:rsidRPr="001045B7" w14:paraId="0B52CB84"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78A2DDC1" w14:textId="119A7FC1"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Sistema Estatal de Comunicación Cultural y Educativa</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B223B8A" w14:textId="4A65A718"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13,994,182</w:t>
            </w:r>
          </w:p>
        </w:tc>
      </w:tr>
      <w:tr w:rsidR="008E08D2" w:rsidRPr="001045B7" w14:paraId="2213E0DD"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2564B24" w14:textId="72E02910"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Régimen Estatal de Protección Social en Salud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38D62CB" w14:textId="7EC6F8F1"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236,752</w:t>
            </w:r>
          </w:p>
        </w:tc>
      </w:tr>
      <w:tr w:rsidR="008E08D2" w:rsidRPr="001045B7" w14:paraId="4E62197C"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FA643F7" w14:textId="3A448574"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Servicios de Salud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88A5816" w14:textId="038B63BF"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4,705,335,048</w:t>
            </w:r>
          </w:p>
        </w:tc>
      </w:tr>
      <w:tr w:rsidR="008E08D2" w:rsidRPr="001045B7" w14:paraId="58AB0D00"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4788D8E" w14:textId="295D2F87"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Autónoma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FDB3C74" w14:textId="33057D6F"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2,956,905,897</w:t>
            </w:r>
          </w:p>
        </w:tc>
      </w:tr>
      <w:tr w:rsidR="008E08D2" w:rsidRPr="001045B7" w14:paraId="649A7916"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51E9131" w14:textId="33875C6A"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Aeronáutica en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0B4D69F" w14:textId="40C82E74"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450,220,422</w:t>
            </w:r>
          </w:p>
        </w:tc>
      </w:tr>
      <w:tr w:rsidR="008E08D2" w:rsidRPr="001045B7" w14:paraId="191E7400"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5242D6B" w14:textId="695D0F83"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Politécnica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7EF0EFB" w14:textId="69216EAE"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267,184,644</w:t>
            </w:r>
          </w:p>
        </w:tc>
      </w:tr>
      <w:tr w:rsidR="008E08D2" w:rsidRPr="001045B7" w14:paraId="685408FE"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4054DC0C" w14:textId="0E34949A"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Politécnica de Santa Rosa Jáuregui</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28A8D1B" w14:textId="29D3CFB0"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246,371,701</w:t>
            </w:r>
          </w:p>
        </w:tc>
      </w:tr>
      <w:tr w:rsidR="008E08D2" w:rsidRPr="001045B7" w14:paraId="696EFA3E"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7AE9DD59" w14:textId="6DCB1BF8"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Unidad de Servicios para la Educación Básica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8DDA0CE" w14:textId="39FD757B"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1,166,213,022</w:t>
            </w:r>
          </w:p>
        </w:tc>
      </w:tr>
      <w:tr w:rsidR="008E08D2" w:rsidRPr="001045B7" w14:paraId="650863B5"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182FCA8" w14:textId="0928F28A"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Tecnológica de Corregidora</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9239497" w14:textId="6790EDC7"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106,942,582</w:t>
            </w:r>
          </w:p>
        </w:tc>
      </w:tr>
      <w:tr w:rsidR="008E08D2" w:rsidRPr="001045B7" w14:paraId="1090B323"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DE60487" w14:textId="746FD468"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Tecnológica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C48667D" w14:textId="5AE46034"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979,394,216</w:t>
            </w:r>
          </w:p>
        </w:tc>
      </w:tr>
      <w:tr w:rsidR="008E08D2" w:rsidRPr="001045B7" w14:paraId="717CD6D5"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A350482" w14:textId="1EBC02B2"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Universidad Tecnológica de San Juan del Río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EFAAAF1" w14:textId="3F4A16A5"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491,228,223</w:t>
            </w:r>
          </w:p>
        </w:tc>
      </w:tr>
      <w:tr w:rsidR="008E08D2" w:rsidRPr="001045B7" w14:paraId="0C08FA1D"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D4AB02C" w14:textId="58C1BAB0"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Centro de Capacitación, Formación e Investigación para la Seguridad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5557F7F" w14:textId="4BCB2F3C"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23,627,588</w:t>
            </w:r>
          </w:p>
        </w:tc>
      </w:tr>
      <w:tr w:rsidR="008E08D2" w:rsidRPr="001045B7" w14:paraId="12123716"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4F6FEF3E" w14:textId="4555FF98" w:rsidR="008E08D2" w:rsidRPr="001045B7" w:rsidRDefault="008E08D2" w:rsidP="008E08D2">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Centro de Evaluación y Control de Confianza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43A0D05" w14:textId="6F304ACF" w:rsidR="008E08D2" w:rsidRPr="001045B7" w:rsidRDefault="008E08D2" w:rsidP="008E08D2">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61,131,789</w:t>
            </w:r>
          </w:p>
        </w:tc>
      </w:tr>
      <w:tr w:rsidR="00BB4D6E" w:rsidRPr="001045B7" w14:paraId="159BBFEC"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A2820A3" w14:textId="78A7D431" w:rsidR="00BB4D6E" w:rsidRPr="001045B7" w:rsidRDefault="00BB4D6E" w:rsidP="00BB4D6E">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Comisión Estatal del Sistema Penitenciario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078CEA0" w14:textId="598445D3" w:rsidR="00BB4D6E" w:rsidRPr="001045B7" w:rsidRDefault="00BB4D6E" w:rsidP="00BB4D6E">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331,686,413</w:t>
            </w:r>
          </w:p>
        </w:tc>
      </w:tr>
      <w:tr w:rsidR="00BB4D6E" w:rsidRPr="001045B7" w14:paraId="57C657F6"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9921425" w14:textId="42778A64" w:rsidR="00BB4D6E" w:rsidRPr="001045B7" w:rsidRDefault="00BB4D6E" w:rsidP="00BB4D6E">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Centro de Información y Análisis para la Seguridad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41BC0F6" w14:textId="7F04F6E4" w:rsidR="00BB4D6E" w:rsidRPr="001045B7" w:rsidRDefault="00BB4D6E" w:rsidP="00BB4D6E">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166,586,953</w:t>
            </w:r>
          </w:p>
        </w:tc>
      </w:tr>
      <w:tr w:rsidR="00BB4D6E" w:rsidRPr="001045B7" w14:paraId="6E921D5E" w14:textId="77777777" w:rsidTr="00C24DE6">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169DA00" w14:textId="7C807D7D" w:rsidR="00BB4D6E" w:rsidRPr="001045B7" w:rsidRDefault="00BB4D6E" w:rsidP="00BB4D6E">
            <w:pPr>
              <w:spacing w:line="276" w:lineRule="auto"/>
              <w:rPr>
                <w:rFonts w:asciiTheme="minorHAnsi" w:hAnsiTheme="minorHAnsi" w:cstheme="minorHAnsi"/>
                <w:color w:val="000000"/>
                <w:sz w:val="16"/>
                <w:szCs w:val="16"/>
              </w:rPr>
            </w:pPr>
            <w:r w:rsidRPr="001045B7">
              <w:rPr>
                <w:rFonts w:asciiTheme="minorHAnsi" w:hAnsiTheme="minorHAnsi" w:cstheme="minorHAnsi"/>
                <w:sz w:val="16"/>
                <w:szCs w:val="16"/>
              </w:rPr>
              <w:t>Fideicomiso Promotor del Empleo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4DD083E" w14:textId="685B1D91" w:rsidR="00BB4D6E" w:rsidRPr="001045B7" w:rsidRDefault="00BB4D6E" w:rsidP="00BB4D6E">
            <w:pPr>
              <w:spacing w:line="276" w:lineRule="auto"/>
              <w:jc w:val="right"/>
              <w:rPr>
                <w:rFonts w:asciiTheme="minorHAnsi" w:hAnsiTheme="minorHAnsi" w:cstheme="minorHAnsi"/>
                <w:sz w:val="16"/>
                <w:szCs w:val="16"/>
              </w:rPr>
            </w:pPr>
            <w:r w:rsidRPr="001045B7">
              <w:rPr>
                <w:rFonts w:asciiTheme="minorHAnsi" w:hAnsiTheme="minorHAnsi" w:cstheme="minorHAnsi"/>
                <w:sz w:val="16"/>
                <w:szCs w:val="16"/>
              </w:rPr>
              <w:t>-450,374</w:t>
            </w:r>
          </w:p>
        </w:tc>
      </w:tr>
    </w:tbl>
    <w:p w14:paraId="2D363D34" w14:textId="0C6A2500" w:rsidR="0015534B" w:rsidRPr="001045B7" w:rsidRDefault="0015534B" w:rsidP="00860054">
      <w:pPr>
        <w:spacing w:line="276" w:lineRule="auto"/>
        <w:jc w:val="both"/>
        <w:rPr>
          <w:rFonts w:asciiTheme="minorHAnsi" w:hAnsiTheme="minorHAnsi" w:cstheme="minorHAnsi"/>
          <w:b/>
          <w:sz w:val="17"/>
          <w:szCs w:val="17"/>
        </w:rPr>
      </w:pPr>
    </w:p>
    <w:p w14:paraId="5F1A3675" w14:textId="0BA80EF5" w:rsidR="005D3CE8" w:rsidRPr="001045B7" w:rsidRDefault="005D3CE8" w:rsidP="00860054">
      <w:pPr>
        <w:spacing w:line="276" w:lineRule="auto"/>
        <w:jc w:val="both"/>
        <w:rPr>
          <w:rFonts w:asciiTheme="minorHAnsi" w:hAnsiTheme="minorHAnsi" w:cstheme="minorHAnsi"/>
          <w:b/>
          <w:sz w:val="17"/>
          <w:szCs w:val="17"/>
        </w:rPr>
      </w:pPr>
    </w:p>
    <w:p w14:paraId="4952886C" w14:textId="7E4872A5" w:rsidR="005D3CE8" w:rsidRPr="001045B7" w:rsidRDefault="005D3CE8" w:rsidP="00860054">
      <w:pPr>
        <w:spacing w:line="276" w:lineRule="auto"/>
        <w:jc w:val="both"/>
        <w:rPr>
          <w:rFonts w:asciiTheme="minorHAnsi" w:hAnsiTheme="minorHAnsi" w:cstheme="minorHAnsi"/>
          <w:b/>
          <w:sz w:val="17"/>
          <w:szCs w:val="17"/>
        </w:rPr>
      </w:pPr>
    </w:p>
    <w:p w14:paraId="3C6314DC" w14:textId="40240B92" w:rsidR="005D3CE8" w:rsidRPr="001045B7" w:rsidRDefault="005D3CE8" w:rsidP="00860054">
      <w:pPr>
        <w:spacing w:line="276" w:lineRule="auto"/>
        <w:jc w:val="both"/>
        <w:rPr>
          <w:rFonts w:asciiTheme="minorHAnsi" w:hAnsiTheme="minorHAnsi" w:cstheme="minorHAnsi"/>
          <w:b/>
          <w:sz w:val="17"/>
          <w:szCs w:val="17"/>
        </w:rPr>
      </w:pPr>
    </w:p>
    <w:p w14:paraId="41DCBD1A" w14:textId="4C4F58D9" w:rsidR="005D3CE8" w:rsidRPr="001045B7" w:rsidRDefault="005D3CE8" w:rsidP="00860054">
      <w:pPr>
        <w:spacing w:line="276" w:lineRule="auto"/>
        <w:jc w:val="both"/>
        <w:rPr>
          <w:rFonts w:asciiTheme="minorHAnsi" w:hAnsiTheme="minorHAnsi" w:cstheme="minorHAnsi"/>
          <w:b/>
          <w:sz w:val="17"/>
          <w:szCs w:val="17"/>
        </w:rPr>
      </w:pPr>
    </w:p>
    <w:p w14:paraId="1B1064D6" w14:textId="5EF91DB6" w:rsidR="005D3CE8" w:rsidRPr="001045B7" w:rsidRDefault="005D3CE8" w:rsidP="00860054">
      <w:pPr>
        <w:spacing w:line="276" w:lineRule="auto"/>
        <w:jc w:val="both"/>
        <w:rPr>
          <w:rFonts w:asciiTheme="minorHAnsi" w:hAnsiTheme="minorHAnsi" w:cstheme="minorHAnsi"/>
          <w:b/>
          <w:sz w:val="17"/>
          <w:szCs w:val="17"/>
        </w:rPr>
      </w:pPr>
    </w:p>
    <w:p w14:paraId="15F5C342" w14:textId="10508349" w:rsidR="005D3CE8" w:rsidRPr="001045B7" w:rsidRDefault="005D3CE8" w:rsidP="00860054">
      <w:pPr>
        <w:spacing w:line="276" w:lineRule="auto"/>
        <w:jc w:val="both"/>
        <w:rPr>
          <w:rFonts w:asciiTheme="minorHAnsi" w:hAnsiTheme="minorHAnsi" w:cstheme="minorHAnsi"/>
          <w:b/>
          <w:sz w:val="17"/>
          <w:szCs w:val="17"/>
        </w:rPr>
      </w:pPr>
    </w:p>
    <w:p w14:paraId="7BC945DB" w14:textId="7389E78E" w:rsidR="005D3CE8" w:rsidRPr="001045B7" w:rsidRDefault="005D3CE8" w:rsidP="00860054">
      <w:pPr>
        <w:spacing w:line="276" w:lineRule="auto"/>
        <w:jc w:val="both"/>
        <w:rPr>
          <w:rFonts w:asciiTheme="minorHAnsi" w:hAnsiTheme="minorHAnsi" w:cstheme="minorHAnsi"/>
          <w:b/>
          <w:sz w:val="17"/>
          <w:szCs w:val="17"/>
        </w:rPr>
      </w:pPr>
    </w:p>
    <w:p w14:paraId="0C851C50" w14:textId="699BE7ED" w:rsidR="005D3CE8" w:rsidRPr="001045B7" w:rsidRDefault="005D3CE8" w:rsidP="00860054">
      <w:pPr>
        <w:spacing w:line="276" w:lineRule="auto"/>
        <w:jc w:val="both"/>
        <w:rPr>
          <w:rFonts w:asciiTheme="minorHAnsi" w:hAnsiTheme="minorHAnsi" w:cstheme="minorHAnsi"/>
          <w:b/>
          <w:sz w:val="17"/>
          <w:szCs w:val="17"/>
        </w:rPr>
      </w:pPr>
    </w:p>
    <w:p w14:paraId="1D1D5826" w14:textId="09CB769C" w:rsidR="005D3CE8" w:rsidRPr="001045B7" w:rsidRDefault="005D3CE8" w:rsidP="00860054">
      <w:pPr>
        <w:spacing w:line="276" w:lineRule="auto"/>
        <w:jc w:val="both"/>
        <w:rPr>
          <w:rFonts w:asciiTheme="minorHAnsi" w:hAnsiTheme="minorHAnsi" w:cstheme="minorHAnsi"/>
          <w:b/>
          <w:sz w:val="17"/>
          <w:szCs w:val="17"/>
        </w:rPr>
      </w:pPr>
    </w:p>
    <w:p w14:paraId="5D91F91D" w14:textId="440EC173" w:rsidR="005D3CE8" w:rsidRPr="001045B7" w:rsidRDefault="005D3CE8" w:rsidP="00860054">
      <w:pPr>
        <w:spacing w:line="276" w:lineRule="auto"/>
        <w:jc w:val="both"/>
        <w:rPr>
          <w:rFonts w:asciiTheme="minorHAnsi" w:hAnsiTheme="minorHAnsi" w:cstheme="minorHAnsi"/>
          <w:b/>
          <w:sz w:val="17"/>
          <w:szCs w:val="17"/>
        </w:rPr>
      </w:pPr>
    </w:p>
    <w:p w14:paraId="0520328C" w14:textId="3F3FC933" w:rsidR="005D3CE8" w:rsidRPr="001045B7" w:rsidRDefault="005D3CE8" w:rsidP="00860054">
      <w:pPr>
        <w:spacing w:line="276" w:lineRule="auto"/>
        <w:jc w:val="both"/>
        <w:rPr>
          <w:rFonts w:asciiTheme="minorHAnsi" w:hAnsiTheme="minorHAnsi" w:cstheme="minorHAnsi"/>
          <w:b/>
          <w:sz w:val="17"/>
          <w:szCs w:val="17"/>
        </w:rPr>
      </w:pPr>
    </w:p>
    <w:p w14:paraId="0D16870B" w14:textId="3447587C" w:rsidR="005D3CE8" w:rsidRPr="001045B7" w:rsidRDefault="005D3CE8" w:rsidP="00860054">
      <w:pPr>
        <w:spacing w:line="276" w:lineRule="auto"/>
        <w:jc w:val="both"/>
        <w:rPr>
          <w:rFonts w:asciiTheme="minorHAnsi" w:hAnsiTheme="minorHAnsi" w:cstheme="minorHAnsi"/>
          <w:b/>
          <w:sz w:val="17"/>
          <w:szCs w:val="17"/>
        </w:rPr>
      </w:pPr>
    </w:p>
    <w:p w14:paraId="301A5C53" w14:textId="7E54965E" w:rsidR="005D3CE8" w:rsidRPr="001045B7" w:rsidRDefault="005D3CE8" w:rsidP="00860054">
      <w:pPr>
        <w:spacing w:line="276" w:lineRule="auto"/>
        <w:jc w:val="both"/>
        <w:rPr>
          <w:rFonts w:asciiTheme="minorHAnsi" w:hAnsiTheme="minorHAnsi" w:cstheme="minorHAnsi"/>
          <w:b/>
          <w:sz w:val="17"/>
          <w:szCs w:val="17"/>
        </w:rPr>
      </w:pPr>
    </w:p>
    <w:p w14:paraId="0E199986" w14:textId="07236973" w:rsidR="005D3CE8" w:rsidRPr="001045B7" w:rsidRDefault="005D3CE8" w:rsidP="00860054">
      <w:pPr>
        <w:spacing w:line="276" w:lineRule="auto"/>
        <w:jc w:val="both"/>
        <w:rPr>
          <w:rFonts w:asciiTheme="minorHAnsi" w:hAnsiTheme="minorHAnsi" w:cstheme="minorHAnsi"/>
          <w:b/>
          <w:sz w:val="17"/>
          <w:szCs w:val="17"/>
        </w:rPr>
      </w:pPr>
    </w:p>
    <w:p w14:paraId="749103FE" w14:textId="7A530F58" w:rsidR="005D3CE8" w:rsidRPr="001045B7" w:rsidRDefault="005D3CE8" w:rsidP="00860054">
      <w:pPr>
        <w:spacing w:line="276" w:lineRule="auto"/>
        <w:jc w:val="both"/>
        <w:rPr>
          <w:rFonts w:asciiTheme="minorHAnsi" w:hAnsiTheme="minorHAnsi" w:cstheme="minorHAnsi"/>
          <w:b/>
          <w:sz w:val="17"/>
          <w:szCs w:val="17"/>
        </w:rPr>
      </w:pPr>
    </w:p>
    <w:p w14:paraId="5F80AEB5" w14:textId="66BB4CD0" w:rsidR="005D3CE8" w:rsidRPr="001045B7" w:rsidRDefault="005D3CE8" w:rsidP="00860054">
      <w:pPr>
        <w:spacing w:line="276" w:lineRule="auto"/>
        <w:jc w:val="both"/>
        <w:rPr>
          <w:rFonts w:asciiTheme="minorHAnsi" w:hAnsiTheme="minorHAnsi" w:cstheme="minorHAnsi"/>
          <w:b/>
          <w:sz w:val="17"/>
          <w:szCs w:val="17"/>
        </w:rPr>
      </w:pPr>
    </w:p>
    <w:p w14:paraId="3A7EB974" w14:textId="77777777" w:rsidR="005D3CE8" w:rsidRPr="001045B7" w:rsidRDefault="005D3CE8" w:rsidP="00860054">
      <w:pPr>
        <w:spacing w:line="276" w:lineRule="auto"/>
        <w:jc w:val="both"/>
        <w:rPr>
          <w:rFonts w:asciiTheme="minorHAnsi" w:hAnsiTheme="minorHAnsi" w:cstheme="minorHAnsi"/>
          <w:b/>
          <w:sz w:val="17"/>
          <w:szCs w:val="17"/>
        </w:rPr>
      </w:pPr>
    </w:p>
    <w:p w14:paraId="4229A404" w14:textId="4CD7E905" w:rsidR="00E54130" w:rsidRPr="001045B7" w:rsidRDefault="00E54130" w:rsidP="00860054">
      <w:pPr>
        <w:spacing w:line="276" w:lineRule="auto"/>
        <w:jc w:val="both"/>
        <w:rPr>
          <w:rFonts w:asciiTheme="minorHAnsi" w:hAnsiTheme="minorHAnsi" w:cstheme="minorHAnsi"/>
          <w:sz w:val="17"/>
          <w:szCs w:val="17"/>
        </w:rPr>
      </w:pPr>
    </w:p>
    <w:p w14:paraId="121350F1" w14:textId="0A14E527" w:rsidR="006368A3" w:rsidRPr="001045B7" w:rsidRDefault="006368A3" w:rsidP="00860054">
      <w:pPr>
        <w:spacing w:line="276" w:lineRule="auto"/>
        <w:jc w:val="both"/>
        <w:rPr>
          <w:rFonts w:asciiTheme="minorHAnsi" w:hAnsiTheme="minorHAnsi" w:cstheme="minorHAnsi"/>
          <w:sz w:val="17"/>
          <w:szCs w:val="17"/>
        </w:rPr>
      </w:pPr>
    </w:p>
    <w:p w14:paraId="5EA7B41A" w14:textId="62B5265B" w:rsidR="006368A3" w:rsidRPr="001045B7" w:rsidRDefault="006368A3" w:rsidP="00860054">
      <w:pPr>
        <w:spacing w:line="276" w:lineRule="auto"/>
        <w:jc w:val="both"/>
        <w:rPr>
          <w:rFonts w:asciiTheme="minorHAnsi" w:hAnsiTheme="minorHAnsi" w:cstheme="minorHAnsi"/>
          <w:sz w:val="17"/>
          <w:szCs w:val="17"/>
        </w:rPr>
      </w:pPr>
    </w:p>
    <w:p w14:paraId="5A8D53E3" w14:textId="7AD81BB4" w:rsidR="006368A3" w:rsidRPr="001045B7" w:rsidRDefault="006368A3" w:rsidP="00860054">
      <w:pPr>
        <w:spacing w:line="276" w:lineRule="auto"/>
        <w:jc w:val="both"/>
        <w:rPr>
          <w:rFonts w:asciiTheme="minorHAnsi" w:hAnsiTheme="minorHAnsi" w:cstheme="minorHAnsi"/>
          <w:sz w:val="17"/>
          <w:szCs w:val="17"/>
        </w:rPr>
      </w:pPr>
    </w:p>
    <w:p w14:paraId="4FABCC57" w14:textId="0CCAFA81" w:rsidR="006368A3" w:rsidRPr="001045B7" w:rsidRDefault="006368A3" w:rsidP="00860054">
      <w:pPr>
        <w:spacing w:line="276" w:lineRule="auto"/>
        <w:jc w:val="both"/>
        <w:rPr>
          <w:rFonts w:asciiTheme="minorHAnsi" w:hAnsiTheme="minorHAnsi" w:cstheme="minorHAnsi"/>
          <w:sz w:val="17"/>
          <w:szCs w:val="17"/>
        </w:rPr>
      </w:pPr>
    </w:p>
    <w:p w14:paraId="61F8D29F" w14:textId="21B4FA9A" w:rsidR="006368A3" w:rsidRPr="001045B7" w:rsidRDefault="006368A3" w:rsidP="00860054">
      <w:pPr>
        <w:spacing w:line="276" w:lineRule="auto"/>
        <w:jc w:val="both"/>
        <w:rPr>
          <w:rFonts w:asciiTheme="minorHAnsi" w:hAnsiTheme="minorHAnsi" w:cstheme="minorHAnsi"/>
          <w:sz w:val="17"/>
          <w:szCs w:val="17"/>
        </w:rPr>
      </w:pPr>
    </w:p>
    <w:p w14:paraId="36FE9B72" w14:textId="609E326A" w:rsidR="006368A3" w:rsidRPr="001045B7" w:rsidRDefault="006368A3" w:rsidP="00860054">
      <w:pPr>
        <w:spacing w:line="276" w:lineRule="auto"/>
        <w:jc w:val="both"/>
        <w:rPr>
          <w:rFonts w:asciiTheme="minorHAnsi" w:hAnsiTheme="minorHAnsi" w:cstheme="minorHAnsi"/>
          <w:sz w:val="17"/>
          <w:szCs w:val="17"/>
        </w:rPr>
      </w:pPr>
    </w:p>
    <w:p w14:paraId="3000E9B8" w14:textId="2E131030" w:rsidR="006368A3" w:rsidRPr="001045B7" w:rsidRDefault="006368A3" w:rsidP="00860054">
      <w:pPr>
        <w:spacing w:line="276" w:lineRule="auto"/>
        <w:jc w:val="both"/>
        <w:rPr>
          <w:rFonts w:asciiTheme="minorHAnsi" w:hAnsiTheme="minorHAnsi" w:cstheme="minorHAnsi"/>
          <w:sz w:val="17"/>
          <w:szCs w:val="17"/>
        </w:rPr>
      </w:pPr>
    </w:p>
    <w:p w14:paraId="2C60BAD6" w14:textId="15EC5C77" w:rsidR="006368A3" w:rsidRPr="001045B7" w:rsidRDefault="006368A3" w:rsidP="00860054">
      <w:pPr>
        <w:spacing w:line="276" w:lineRule="auto"/>
        <w:jc w:val="both"/>
        <w:rPr>
          <w:rFonts w:asciiTheme="minorHAnsi" w:hAnsiTheme="minorHAnsi" w:cstheme="minorHAnsi"/>
          <w:sz w:val="17"/>
          <w:szCs w:val="17"/>
        </w:rPr>
      </w:pPr>
    </w:p>
    <w:p w14:paraId="27A407F7" w14:textId="5AD25430" w:rsidR="006368A3" w:rsidRPr="001045B7" w:rsidRDefault="006368A3" w:rsidP="00860054">
      <w:pPr>
        <w:spacing w:line="276" w:lineRule="auto"/>
        <w:jc w:val="both"/>
        <w:rPr>
          <w:rFonts w:asciiTheme="minorHAnsi" w:hAnsiTheme="minorHAnsi" w:cstheme="minorHAnsi"/>
          <w:sz w:val="17"/>
          <w:szCs w:val="17"/>
        </w:rPr>
      </w:pPr>
    </w:p>
    <w:p w14:paraId="51F49DE3" w14:textId="3059EF3F" w:rsidR="006368A3" w:rsidRPr="001045B7" w:rsidRDefault="006368A3" w:rsidP="00860054">
      <w:pPr>
        <w:spacing w:line="276" w:lineRule="auto"/>
        <w:jc w:val="both"/>
        <w:rPr>
          <w:rFonts w:asciiTheme="minorHAnsi" w:hAnsiTheme="minorHAnsi" w:cstheme="minorHAnsi"/>
          <w:sz w:val="17"/>
          <w:szCs w:val="17"/>
        </w:rPr>
      </w:pPr>
    </w:p>
    <w:p w14:paraId="053C1F4E" w14:textId="6E899786" w:rsidR="006368A3" w:rsidRPr="001045B7" w:rsidRDefault="006368A3" w:rsidP="00860054">
      <w:pPr>
        <w:spacing w:line="276" w:lineRule="auto"/>
        <w:jc w:val="both"/>
        <w:rPr>
          <w:rFonts w:asciiTheme="minorHAnsi" w:hAnsiTheme="minorHAnsi" w:cstheme="minorHAnsi"/>
          <w:sz w:val="17"/>
          <w:szCs w:val="17"/>
        </w:rPr>
      </w:pPr>
    </w:p>
    <w:p w14:paraId="2F86E59E" w14:textId="6523B4A4" w:rsidR="006368A3" w:rsidRPr="001045B7" w:rsidRDefault="006368A3" w:rsidP="00860054">
      <w:pPr>
        <w:spacing w:line="276" w:lineRule="auto"/>
        <w:jc w:val="both"/>
        <w:rPr>
          <w:rFonts w:asciiTheme="minorHAnsi" w:hAnsiTheme="minorHAnsi" w:cstheme="minorHAnsi"/>
          <w:sz w:val="17"/>
          <w:szCs w:val="17"/>
        </w:rPr>
      </w:pPr>
    </w:p>
    <w:p w14:paraId="25D5D40B" w14:textId="17346305" w:rsidR="006368A3" w:rsidRPr="001045B7" w:rsidRDefault="006368A3" w:rsidP="00860054">
      <w:pPr>
        <w:spacing w:line="276" w:lineRule="auto"/>
        <w:jc w:val="both"/>
        <w:rPr>
          <w:rFonts w:asciiTheme="minorHAnsi" w:hAnsiTheme="minorHAnsi" w:cstheme="minorHAnsi"/>
          <w:sz w:val="17"/>
          <w:szCs w:val="17"/>
        </w:rPr>
      </w:pPr>
    </w:p>
    <w:p w14:paraId="4FC7730F" w14:textId="3195E1CA" w:rsidR="006368A3" w:rsidRPr="001045B7" w:rsidRDefault="006368A3" w:rsidP="00860054">
      <w:pPr>
        <w:spacing w:line="276" w:lineRule="auto"/>
        <w:jc w:val="both"/>
        <w:rPr>
          <w:rFonts w:asciiTheme="minorHAnsi" w:hAnsiTheme="minorHAnsi" w:cstheme="minorHAnsi"/>
          <w:sz w:val="17"/>
          <w:szCs w:val="17"/>
        </w:rPr>
      </w:pPr>
    </w:p>
    <w:p w14:paraId="5E03C5F7" w14:textId="51CE8ECA" w:rsidR="006368A3" w:rsidRPr="001045B7" w:rsidRDefault="006368A3" w:rsidP="00860054">
      <w:pPr>
        <w:spacing w:line="276" w:lineRule="auto"/>
        <w:jc w:val="both"/>
        <w:rPr>
          <w:rFonts w:asciiTheme="minorHAnsi" w:hAnsiTheme="minorHAnsi" w:cstheme="minorHAnsi"/>
          <w:sz w:val="17"/>
          <w:szCs w:val="17"/>
        </w:rPr>
      </w:pPr>
    </w:p>
    <w:p w14:paraId="7C48B119" w14:textId="0BBF047F" w:rsidR="006368A3" w:rsidRPr="001045B7" w:rsidRDefault="006368A3" w:rsidP="00860054">
      <w:pPr>
        <w:spacing w:line="276" w:lineRule="auto"/>
        <w:jc w:val="both"/>
        <w:rPr>
          <w:rFonts w:asciiTheme="minorHAnsi" w:hAnsiTheme="minorHAnsi" w:cstheme="minorHAnsi"/>
          <w:sz w:val="17"/>
          <w:szCs w:val="17"/>
        </w:rPr>
      </w:pPr>
    </w:p>
    <w:p w14:paraId="3A1C2BB8" w14:textId="65C5F26E" w:rsidR="006368A3" w:rsidRPr="001045B7" w:rsidRDefault="006368A3" w:rsidP="00860054">
      <w:pPr>
        <w:spacing w:line="276" w:lineRule="auto"/>
        <w:jc w:val="both"/>
        <w:rPr>
          <w:rFonts w:asciiTheme="minorHAnsi" w:hAnsiTheme="minorHAnsi" w:cstheme="minorHAnsi"/>
          <w:sz w:val="17"/>
          <w:szCs w:val="17"/>
        </w:rPr>
      </w:pPr>
    </w:p>
    <w:p w14:paraId="75F255D3" w14:textId="6CD3871F" w:rsidR="006368A3" w:rsidRPr="001045B7" w:rsidRDefault="006368A3" w:rsidP="00860054">
      <w:pPr>
        <w:spacing w:line="276" w:lineRule="auto"/>
        <w:jc w:val="both"/>
        <w:rPr>
          <w:rFonts w:asciiTheme="minorHAnsi" w:hAnsiTheme="minorHAnsi" w:cstheme="minorHAnsi"/>
          <w:sz w:val="17"/>
          <w:szCs w:val="17"/>
        </w:rPr>
      </w:pPr>
    </w:p>
    <w:p w14:paraId="09F399B1" w14:textId="77777777" w:rsidR="006368A3" w:rsidRPr="001045B7" w:rsidRDefault="006368A3" w:rsidP="00860054">
      <w:pPr>
        <w:spacing w:line="276" w:lineRule="auto"/>
        <w:jc w:val="both"/>
        <w:rPr>
          <w:rFonts w:asciiTheme="minorHAnsi" w:hAnsiTheme="minorHAnsi" w:cstheme="minorHAnsi"/>
          <w:sz w:val="17"/>
          <w:szCs w:val="17"/>
        </w:rPr>
      </w:pPr>
    </w:p>
    <w:p w14:paraId="1E00989B" w14:textId="332E2CB3" w:rsidR="000512CA" w:rsidRPr="001045B7" w:rsidRDefault="000512CA" w:rsidP="00860054">
      <w:pPr>
        <w:spacing w:line="276" w:lineRule="auto"/>
        <w:jc w:val="both"/>
        <w:rPr>
          <w:rFonts w:asciiTheme="minorHAnsi" w:hAnsiTheme="minorHAnsi" w:cstheme="minorHAnsi"/>
          <w:sz w:val="17"/>
          <w:szCs w:val="17"/>
        </w:rPr>
      </w:pPr>
    </w:p>
    <w:tbl>
      <w:tblPr>
        <w:tblpPr w:leftFromText="141" w:rightFromText="141" w:vertAnchor="text" w:horzAnchor="margin" w:tblpXSpec="center" w:tblpY="119"/>
        <w:tblW w:w="11761" w:type="dxa"/>
        <w:tblLayout w:type="fixed"/>
        <w:tblCellMar>
          <w:left w:w="70" w:type="dxa"/>
          <w:right w:w="70" w:type="dxa"/>
        </w:tblCellMar>
        <w:tblLook w:val="04A0" w:firstRow="1" w:lastRow="0" w:firstColumn="1" w:lastColumn="0" w:noHBand="0" w:noVBand="1"/>
      </w:tblPr>
      <w:tblGrid>
        <w:gridCol w:w="10348"/>
        <w:gridCol w:w="1413"/>
      </w:tblGrid>
      <w:tr w:rsidR="00BB4D6E" w:rsidRPr="001045B7" w14:paraId="6B4DFAE5"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568ACB78" w14:textId="78DB2BD1"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Instituto del Deporte y la Recreación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5ACA54B" w14:textId="56D7C8F9"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158,149,212</w:t>
            </w:r>
          </w:p>
        </w:tc>
      </w:tr>
      <w:tr w:rsidR="00BB4D6E" w:rsidRPr="001045B7" w14:paraId="52B53015"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299F1C6D" w14:textId="28CBEF4E"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Fideicomiso Promotor de Proyectos Económicos y Bienestar Social</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812578A" w14:textId="7B11F24F"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916,892,093</w:t>
            </w:r>
          </w:p>
        </w:tc>
      </w:tr>
      <w:tr w:rsidR="00BB4D6E" w:rsidRPr="001045B7" w14:paraId="376F45F3"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0C028580" w14:textId="0F4A6BCF"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Agencia de Energía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C83A3E" w14:textId="3CD72FC4"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16,767,340</w:t>
            </w:r>
          </w:p>
        </w:tc>
      </w:tr>
      <w:tr w:rsidR="00BB4D6E" w:rsidRPr="001045B7" w14:paraId="267A1D98"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42DB448F" w14:textId="6E6E771A"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 xml:space="preserve">Centro de Conciliación Laboral Querétaro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0E1EE26" w14:textId="7A8A7854"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15,458,113</w:t>
            </w:r>
          </w:p>
        </w:tc>
      </w:tr>
      <w:tr w:rsidR="00BB4D6E" w:rsidRPr="001045B7" w14:paraId="4D080774"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35CE1860" w14:textId="38D73CDD"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Centro de Prevención Social del Delito y la Violencia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E89F1A4" w14:textId="1AE46588"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16,124,672</w:t>
            </w:r>
          </w:p>
        </w:tc>
      </w:tr>
      <w:tr w:rsidR="00BB4D6E" w:rsidRPr="001045B7" w14:paraId="3B083AF9"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4812D60A" w14:textId="774892AD"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 xml:space="preserve">Instituto Queretano del Emprendimiento y la Innovación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5AA22DD" w14:textId="6500CF43"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2,001,801</w:t>
            </w:r>
          </w:p>
        </w:tc>
      </w:tr>
      <w:tr w:rsidR="00BB4D6E" w:rsidRPr="001045B7" w14:paraId="32C30792"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45CB2F42" w14:textId="35636FD1"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Centro de Capacitación del Personal Operativo de Transporte del Estado de Querétaro, S.A. de C.V.</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EE0D7C9" w14:textId="2AE5562C"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3,503,020</w:t>
            </w:r>
          </w:p>
        </w:tc>
      </w:tr>
      <w:tr w:rsidR="00BB4D6E" w:rsidRPr="001045B7" w14:paraId="4CF11DB8" w14:textId="77777777" w:rsidTr="001B66D7">
        <w:trPr>
          <w:trHeight w:val="55"/>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7F0645CD" w14:textId="7C7A045B" w:rsidR="00BB4D6E" w:rsidRPr="001045B7" w:rsidRDefault="00BB4D6E" w:rsidP="00BB4D6E">
            <w:pPr>
              <w:spacing w:line="276" w:lineRule="auto"/>
              <w:rPr>
                <w:rFonts w:asciiTheme="minorHAnsi" w:hAnsiTheme="minorHAnsi" w:cstheme="minorHAnsi"/>
                <w:color w:val="000000"/>
                <w:sz w:val="17"/>
                <w:szCs w:val="17"/>
              </w:rPr>
            </w:pPr>
            <w:r w:rsidRPr="001045B7">
              <w:rPr>
                <w:rFonts w:asciiTheme="minorHAnsi" w:hAnsiTheme="minorHAnsi" w:cstheme="minorHAnsi"/>
                <w:sz w:val="17"/>
                <w:szCs w:val="17"/>
              </w:rPr>
              <w:t>Instituto Registral y Catastral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EB0BA8A" w14:textId="33D7012D" w:rsidR="00BB4D6E" w:rsidRPr="001045B7" w:rsidRDefault="00BB4D6E" w:rsidP="00BB4D6E">
            <w:pPr>
              <w:spacing w:line="276" w:lineRule="auto"/>
              <w:jc w:val="right"/>
              <w:rPr>
                <w:rFonts w:asciiTheme="minorHAnsi" w:hAnsiTheme="minorHAnsi" w:cstheme="minorHAnsi"/>
                <w:sz w:val="17"/>
                <w:szCs w:val="17"/>
              </w:rPr>
            </w:pPr>
            <w:r w:rsidRPr="001045B7">
              <w:rPr>
                <w:rFonts w:asciiTheme="minorHAnsi" w:hAnsiTheme="minorHAnsi" w:cstheme="minorHAnsi"/>
                <w:sz w:val="17"/>
                <w:szCs w:val="17"/>
              </w:rPr>
              <w:t>2,696,376</w:t>
            </w:r>
          </w:p>
        </w:tc>
      </w:tr>
    </w:tbl>
    <w:p w14:paraId="0D75A93F" w14:textId="2A3CFF30" w:rsidR="000512CA" w:rsidRPr="001045B7" w:rsidRDefault="000512CA" w:rsidP="00860054">
      <w:pPr>
        <w:spacing w:line="276" w:lineRule="auto"/>
        <w:jc w:val="both"/>
        <w:rPr>
          <w:rFonts w:asciiTheme="minorHAnsi" w:hAnsiTheme="minorHAnsi" w:cstheme="minorHAnsi"/>
          <w:sz w:val="17"/>
          <w:szCs w:val="17"/>
        </w:rPr>
      </w:pPr>
    </w:p>
    <w:p w14:paraId="0116AB5C" w14:textId="77777777" w:rsidR="00FB6501" w:rsidRPr="001045B7" w:rsidRDefault="00FB6501" w:rsidP="00860054">
      <w:pPr>
        <w:spacing w:line="276" w:lineRule="auto"/>
        <w:jc w:val="both"/>
        <w:rPr>
          <w:rFonts w:asciiTheme="minorHAnsi" w:hAnsiTheme="minorHAnsi" w:cstheme="minorHAnsi"/>
          <w:sz w:val="17"/>
          <w:szCs w:val="17"/>
        </w:rPr>
      </w:pPr>
    </w:p>
    <w:p w14:paraId="7B6B30BD" w14:textId="774DD41E" w:rsidR="007873F4" w:rsidRPr="001045B7" w:rsidRDefault="007873F4" w:rsidP="00860054">
      <w:pPr>
        <w:spacing w:line="276" w:lineRule="auto"/>
        <w:jc w:val="both"/>
        <w:rPr>
          <w:rFonts w:asciiTheme="minorHAnsi" w:hAnsiTheme="minorHAnsi" w:cstheme="minorHAnsi"/>
          <w:sz w:val="17"/>
          <w:szCs w:val="17"/>
        </w:rPr>
      </w:pPr>
    </w:p>
    <w:p w14:paraId="7FCF89EA" w14:textId="7309D234" w:rsidR="007873F4" w:rsidRPr="001045B7" w:rsidRDefault="007873F4" w:rsidP="00860054">
      <w:pPr>
        <w:spacing w:line="276" w:lineRule="auto"/>
        <w:jc w:val="both"/>
        <w:rPr>
          <w:rFonts w:asciiTheme="minorHAnsi" w:hAnsiTheme="minorHAnsi" w:cstheme="minorHAnsi"/>
          <w:sz w:val="17"/>
          <w:szCs w:val="17"/>
        </w:rPr>
      </w:pPr>
    </w:p>
    <w:p w14:paraId="5AD2183D" w14:textId="320620D9" w:rsidR="007873F4" w:rsidRPr="001045B7" w:rsidRDefault="007873F4" w:rsidP="00860054">
      <w:pPr>
        <w:spacing w:line="276" w:lineRule="auto"/>
        <w:jc w:val="both"/>
        <w:rPr>
          <w:rFonts w:asciiTheme="minorHAnsi" w:hAnsiTheme="minorHAnsi" w:cstheme="minorHAnsi"/>
          <w:sz w:val="17"/>
          <w:szCs w:val="17"/>
        </w:rPr>
      </w:pPr>
    </w:p>
    <w:p w14:paraId="3026E13A" w14:textId="3AB91264" w:rsidR="007873F4" w:rsidRPr="001045B7" w:rsidRDefault="007873F4" w:rsidP="00860054">
      <w:pPr>
        <w:spacing w:line="276" w:lineRule="auto"/>
        <w:jc w:val="both"/>
        <w:rPr>
          <w:rFonts w:asciiTheme="minorHAnsi" w:hAnsiTheme="minorHAnsi" w:cstheme="minorHAnsi"/>
          <w:sz w:val="17"/>
          <w:szCs w:val="17"/>
        </w:rPr>
      </w:pPr>
    </w:p>
    <w:p w14:paraId="69036C4E" w14:textId="3294C526" w:rsidR="007873F4" w:rsidRPr="001045B7" w:rsidRDefault="007873F4" w:rsidP="00860054">
      <w:pPr>
        <w:spacing w:line="276" w:lineRule="auto"/>
        <w:jc w:val="both"/>
        <w:rPr>
          <w:rFonts w:asciiTheme="minorHAnsi" w:hAnsiTheme="minorHAnsi" w:cstheme="minorHAnsi"/>
          <w:sz w:val="17"/>
          <w:szCs w:val="17"/>
        </w:rPr>
      </w:pPr>
    </w:p>
    <w:p w14:paraId="105C171A" w14:textId="375C9A33" w:rsidR="007873F4" w:rsidRPr="001045B7" w:rsidRDefault="007873F4" w:rsidP="00860054">
      <w:pPr>
        <w:spacing w:line="276" w:lineRule="auto"/>
        <w:jc w:val="both"/>
        <w:rPr>
          <w:rFonts w:asciiTheme="minorHAnsi" w:hAnsiTheme="minorHAnsi" w:cstheme="minorHAnsi"/>
          <w:sz w:val="17"/>
          <w:szCs w:val="17"/>
        </w:rPr>
      </w:pPr>
    </w:p>
    <w:p w14:paraId="76945FE1" w14:textId="605DF3CC" w:rsidR="007873F4" w:rsidRPr="001045B7" w:rsidRDefault="007873F4" w:rsidP="00860054">
      <w:pPr>
        <w:spacing w:line="276" w:lineRule="auto"/>
        <w:jc w:val="both"/>
        <w:rPr>
          <w:rFonts w:asciiTheme="minorHAnsi" w:hAnsiTheme="minorHAnsi" w:cstheme="minorHAnsi"/>
          <w:sz w:val="17"/>
          <w:szCs w:val="17"/>
        </w:rPr>
      </w:pPr>
    </w:p>
    <w:p w14:paraId="0F5EB067" w14:textId="7938AFFF" w:rsidR="007873F4" w:rsidRPr="001045B7" w:rsidRDefault="007873F4" w:rsidP="00860054">
      <w:pPr>
        <w:spacing w:line="276" w:lineRule="auto"/>
        <w:jc w:val="both"/>
        <w:rPr>
          <w:rFonts w:asciiTheme="minorHAnsi" w:hAnsiTheme="minorHAnsi" w:cstheme="minorHAnsi"/>
          <w:sz w:val="17"/>
          <w:szCs w:val="17"/>
        </w:rPr>
      </w:pPr>
    </w:p>
    <w:p w14:paraId="104C6598" w14:textId="77777777" w:rsidR="008E7DE6" w:rsidRPr="001045B7" w:rsidRDefault="008E7DE6" w:rsidP="00860054">
      <w:pPr>
        <w:spacing w:line="276" w:lineRule="auto"/>
        <w:jc w:val="both"/>
        <w:rPr>
          <w:rFonts w:asciiTheme="minorHAnsi" w:hAnsiTheme="minorHAnsi" w:cstheme="minorHAnsi"/>
          <w:sz w:val="17"/>
          <w:szCs w:val="17"/>
        </w:rPr>
      </w:pPr>
    </w:p>
    <w:tbl>
      <w:tblPr>
        <w:tblpPr w:leftFromText="141" w:rightFromText="141" w:vertAnchor="text" w:horzAnchor="margin" w:tblpXSpec="center" w:tblpY="144"/>
        <w:tblW w:w="11761" w:type="dxa"/>
        <w:tblLayout w:type="fixed"/>
        <w:tblCellMar>
          <w:left w:w="70" w:type="dxa"/>
          <w:right w:w="70" w:type="dxa"/>
        </w:tblCellMar>
        <w:tblLook w:val="04A0" w:firstRow="1" w:lastRow="0" w:firstColumn="1" w:lastColumn="0" w:noHBand="0" w:noVBand="1"/>
      </w:tblPr>
      <w:tblGrid>
        <w:gridCol w:w="1526"/>
        <w:gridCol w:w="8822"/>
        <w:gridCol w:w="1413"/>
      </w:tblGrid>
      <w:tr w:rsidR="0015534B" w:rsidRPr="001045B7" w14:paraId="6C78B3CE" w14:textId="77777777" w:rsidTr="0015534B">
        <w:trPr>
          <w:trHeight w:val="70"/>
        </w:trPr>
        <w:tc>
          <w:tcPr>
            <w:tcW w:w="152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7B3CE93" w14:textId="77777777" w:rsidR="0015534B" w:rsidRPr="001045B7" w:rsidRDefault="0015534B" w:rsidP="0015534B">
            <w:pPr>
              <w:spacing w:line="276" w:lineRule="auto"/>
              <w:jc w:val="both"/>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12142</w:t>
            </w:r>
          </w:p>
        </w:tc>
        <w:tc>
          <w:tcPr>
            <w:tcW w:w="882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8089C58" w14:textId="77777777" w:rsidR="0015534B" w:rsidRPr="001045B7" w:rsidRDefault="0015534B" w:rsidP="0015534B">
            <w:pPr>
              <w:spacing w:line="276" w:lineRule="auto"/>
              <w:jc w:val="both"/>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Participaciones y Aportaciones de Capital a Largo Plazo en el Sector Privado</w:t>
            </w:r>
          </w:p>
        </w:tc>
        <w:tc>
          <w:tcPr>
            <w:tcW w:w="1413"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D62A5A0" w14:textId="77777777" w:rsidR="0015534B" w:rsidRPr="001045B7" w:rsidRDefault="0015534B" w:rsidP="0015534B">
            <w:pPr>
              <w:spacing w:line="276" w:lineRule="auto"/>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159,989,750</w:t>
            </w:r>
          </w:p>
        </w:tc>
      </w:tr>
      <w:tr w:rsidR="0015534B" w:rsidRPr="001045B7" w14:paraId="46BE2DF0" w14:textId="77777777" w:rsidTr="0015534B">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96C704" w14:textId="77777777" w:rsidR="0015534B" w:rsidRPr="001045B7" w:rsidRDefault="0015534B" w:rsidP="0015534B">
            <w:pPr>
              <w:spacing w:line="276" w:lineRule="auto"/>
              <w:rPr>
                <w:rFonts w:asciiTheme="minorHAnsi" w:hAnsiTheme="minorHAnsi" w:cstheme="minorHAnsi"/>
                <w:color w:val="000000"/>
                <w:sz w:val="17"/>
                <w:szCs w:val="17"/>
              </w:rPr>
            </w:pPr>
            <w:r w:rsidRPr="001045B7">
              <w:rPr>
                <w:rFonts w:asciiTheme="minorHAnsi" w:hAnsiTheme="minorHAnsi" w:cstheme="minorHAnsi"/>
                <w:color w:val="000000"/>
                <w:sz w:val="17"/>
                <w:szCs w:val="17"/>
              </w:rPr>
              <w:t>Centro Sur SA de CV</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D4EC" w14:textId="77777777" w:rsidR="0015534B" w:rsidRPr="001045B7" w:rsidRDefault="0015534B" w:rsidP="0015534B">
            <w:pPr>
              <w:spacing w:line="276" w:lineRule="auto"/>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159,989,750</w:t>
            </w:r>
          </w:p>
        </w:tc>
      </w:tr>
      <w:tr w:rsidR="0015534B" w:rsidRPr="001045B7" w14:paraId="7C573890" w14:textId="77777777" w:rsidTr="0015534B">
        <w:trPr>
          <w:trHeight w:val="7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F51F9D" w14:textId="77777777" w:rsidR="0015534B" w:rsidRPr="001045B7" w:rsidRDefault="0015534B" w:rsidP="0015534B">
            <w:pPr>
              <w:spacing w:line="276" w:lineRule="auto"/>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CA9231" w14:textId="15E3C62C" w:rsidR="0015534B" w:rsidRPr="001045B7" w:rsidRDefault="001B5620" w:rsidP="0015534B">
            <w:pPr>
              <w:spacing w:line="276" w:lineRule="auto"/>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28,666,564,888</w:t>
            </w:r>
          </w:p>
        </w:tc>
      </w:tr>
    </w:tbl>
    <w:p w14:paraId="5DBEA2E9" w14:textId="77777777" w:rsidR="008E7DE6" w:rsidRPr="001045B7" w:rsidRDefault="008E7DE6" w:rsidP="00860054">
      <w:pPr>
        <w:spacing w:line="276" w:lineRule="auto"/>
        <w:jc w:val="both"/>
        <w:rPr>
          <w:rFonts w:asciiTheme="minorHAnsi" w:hAnsiTheme="minorHAnsi" w:cstheme="minorHAnsi"/>
          <w:sz w:val="17"/>
          <w:szCs w:val="17"/>
        </w:rPr>
      </w:pPr>
    </w:p>
    <w:p w14:paraId="7ECC239C" w14:textId="77777777" w:rsidR="008E7DE6" w:rsidRPr="001045B7" w:rsidRDefault="008E7DE6" w:rsidP="00860054">
      <w:pPr>
        <w:spacing w:line="276" w:lineRule="auto"/>
        <w:jc w:val="both"/>
        <w:rPr>
          <w:rFonts w:asciiTheme="minorHAnsi" w:hAnsiTheme="minorHAnsi" w:cstheme="minorHAnsi"/>
          <w:sz w:val="17"/>
          <w:szCs w:val="17"/>
        </w:rPr>
      </w:pPr>
    </w:p>
    <w:p w14:paraId="48DBF72B" w14:textId="77777777" w:rsidR="002A7B90" w:rsidRPr="001045B7" w:rsidRDefault="002A7B90" w:rsidP="00860054">
      <w:pPr>
        <w:spacing w:line="276" w:lineRule="auto"/>
        <w:jc w:val="both"/>
        <w:rPr>
          <w:rFonts w:asciiTheme="minorHAnsi" w:hAnsiTheme="minorHAnsi" w:cstheme="minorHAnsi"/>
          <w:sz w:val="17"/>
          <w:szCs w:val="17"/>
        </w:rPr>
      </w:pPr>
    </w:p>
    <w:p w14:paraId="4A92A3D9" w14:textId="12D3392D" w:rsidR="002A27CE" w:rsidRPr="001045B7" w:rsidRDefault="002A27CE" w:rsidP="00860054">
      <w:pPr>
        <w:spacing w:line="276" w:lineRule="auto"/>
        <w:jc w:val="both"/>
        <w:rPr>
          <w:rFonts w:asciiTheme="minorHAnsi" w:hAnsiTheme="minorHAnsi" w:cstheme="minorHAnsi"/>
          <w:sz w:val="17"/>
          <w:szCs w:val="17"/>
        </w:rPr>
      </w:pPr>
    </w:p>
    <w:p w14:paraId="1908616F" w14:textId="5E364C0A" w:rsidR="001B3CC1" w:rsidRPr="001045B7" w:rsidRDefault="001B3CC1" w:rsidP="00860054">
      <w:pPr>
        <w:spacing w:line="276" w:lineRule="auto"/>
        <w:jc w:val="both"/>
        <w:rPr>
          <w:rFonts w:asciiTheme="minorHAnsi" w:hAnsiTheme="minorHAnsi" w:cstheme="minorHAnsi"/>
          <w:sz w:val="17"/>
          <w:szCs w:val="17"/>
        </w:rPr>
      </w:pPr>
    </w:p>
    <w:p w14:paraId="64101577" w14:textId="77777777" w:rsidR="001B5620" w:rsidRPr="001045B7" w:rsidRDefault="001B5620" w:rsidP="00860054">
      <w:pPr>
        <w:spacing w:line="276" w:lineRule="auto"/>
        <w:jc w:val="both"/>
        <w:rPr>
          <w:rFonts w:asciiTheme="minorHAnsi" w:hAnsiTheme="minorHAnsi" w:cstheme="minorHAnsi"/>
          <w:sz w:val="17"/>
          <w:szCs w:val="17"/>
        </w:rPr>
      </w:pPr>
    </w:p>
    <w:p w14:paraId="0C8CABE4" w14:textId="77777777" w:rsidR="00FB6501" w:rsidRPr="001045B7" w:rsidRDefault="00FB6501" w:rsidP="00860054">
      <w:pPr>
        <w:spacing w:line="276" w:lineRule="auto"/>
        <w:jc w:val="both"/>
        <w:rPr>
          <w:rFonts w:asciiTheme="minorHAnsi" w:hAnsiTheme="minorHAnsi" w:cstheme="minorHAnsi"/>
          <w:sz w:val="17"/>
          <w:szCs w:val="17"/>
        </w:rPr>
      </w:pPr>
    </w:p>
    <w:p w14:paraId="45549E40" w14:textId="5DB89082"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Para el caso de las Entidades Paraestatales, la participación que se tiene en el patrimonio es del 100% (cien por ciento), con excepción del Aeropuerto Intercontinental de Querétaro, S.A. de </w:t>
      </w:r>
      <w:proofErr w:type="spellStart"/>
      <w:r w:rsidRPr="001045B7">
        <w:rPr>
          <w:rFonts w:asciiTheme="minorHAnsi" w:hAnsiTheme="minorHAnsi" w:cstheme="minorHAnsi"/>
          <w:sz w:val="17"/>
          <w:szCs w:val="17"/>
        </w:rPr>
        <w:t>C.V</w:t>
      </w:r>
      <w:proofErr w:type="spellEnd"/>
      <w:r w:rsidRPr="001045B7">
        <w:rPr>
          <w:rFonts w:asciiTheme="minorHAnsi" w:hAnsiTheme="minorHAnsi" w:cstheme="minorHAnsi"/>
          <w:sz w:val="17"/>
          <w:szCs w:val="17"/>
        </w:rPr>
        <w:t xml:space="preserve"> el cual es del 75% (setenta y cinco por ciento)</w:t>
      </w:r>
      <w:r w:rsidR="00FA4378" w:rsidRPr="001045B7">
        <w:rPr>
          <w:rFonts w:asciiTheme="minorHAnsi" w:hAnsiTheme="minorHAnsi" w:cstheme="minorHAnsi"/>
          <w:sz w:val="17"/>
          <w:szCs w:val="17"/>
        </w:rPr>
        <w:t xml:space="preserve"> y del Centro de Capacitación del Personal Operativo de Transporte del Estado de Querétaro, S.A. de C.V. el cual es del 99% (noventa y nueve por ciento)</w:t>
      </w:r>
      <w:r w:rsidRPr="001045B7">
        <w:rPr>
          <w:rFonts w:asciiTheme="minorHAnsi" w:hAnsiTheme="minorHAnsi" w:cstheme="minorHAnsi"/>
          <w:sz w:val="17"/>
          <w:szCs w:val="17"/>
        </w:rPr>
        <w:t>.</w:t>
      </w:r>
    </w:p>
    <w:p w14:paraId="33807B0B" w14:textId="77777777" w:rsidR="008E7DE6" w:rsidRPr="001045B7" w:rsidRDefault="008E7DE6" w:rsidP="00860054">
      <w:pPr>
        <w:spacing w:line="276" w:lineRule="auto"/>
        <w:jc w:val="both"/>
        <w:rPr>
          <w:rFonts w:asciiTheme="minorHAnsi" w:hAnsiTheme="minorHAnsi" w:cstheme="minorHAnsi"/>
          <w:sz w:val="17"/>
          <w:szCs w:val="17"/>
        </w:rPr>
      </w:pPr>
    </w:p>
    <w:p w14:paraId="19DFD763" w14:textId="48D41AD8" w:rsidR="00E54130" w:rsidRPr="001045B7" w:rsidRDefault="00E5413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el rubro de Participaciones y Aportaciones de Capital a Largo Plazo en el Sector Privado, la cuenta Centro Sur, S.A. de C.V. refleja la inversión que se tiene actualizada a valor de 2016 (dos mil dieciséis) con base a los últimos estados financieros dictaminados, proporcionados por la compañía. </w:t>
      </w:r>
    </w:p>
    <w:p w14:paraId="359A1D0B" w14:textId="0BAAEE8C" w:rsidR="008E7DE6" w:rsidRPr="001045B7" w:rsidRDefault="008E7DE6" w:rsidP="00860054">
      <w:pPr>
        <w:spacing w:line="276" w:lineRule="auto"/>
        <w:jc w:val="both"/>
        <w:rPr>
          <w:rFonts w:asciiTheme="minorHAnsi" w:hAnsiTheme="minorHAnsi" w:cstheme="minorHAnsi"/>
          <w:sz w:val="17"/>
          <w:szCs w:val="17"/>
        </w:rPr>
      </w:pPr>
    </w:p>
    <w:p w14:paraId="378E247C" w14:textId="77777777" w:rsidR="00FB6501" w:rsidRPr="001045B7" w:rsidRDefault="00FB6501" w:rsidP="00860054">
      <w:pPr>
        <w:spacing w:line="276" w:lineRule="auto"/>
        <w:jc w:val="both"/>
        <w:rPr>
          <w:rFonts w:asciiTheme="minorHAnsi" w:hAnsiTheme="minorHAnsi" w:cstheme="minorHAnsi"/>
          <w:sz w:val="17"/>
          <w:szCs w:val="17"/>
        </w:rPr>
      </w:pPr>
    </w:p>
    <w:p w14:paraId="277A7343" w14:textId="77777777" w:rsidR="00E54130" w:rsidRPr="001045B7" w:rsidRDefault="00E54130"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Reporte de la Recaudación</w:t>
      </w:r>
    </w:p>
    <w:p w14:paraId="1FA48EC9" w14:textId="77777777" w:rsidR="00E54130" w:rsidRPr="001045B7" w:rsidRDefault="00E54130" w:rsidP="00860054">
      <w:pPr>
        <w:spacing w:line="276" w:lineRule="auto"/>
        <w:jc w:val="both"/>
        <w:rPr>
          <w:rFonts w:asciiTheme="minorHAnsi" w:hAnsiTheme="minorHAnsi" w:cstheme="minorHAnsi"/>
          <w:sz w:val="17"/>
          <w:szCs w:val="17"/>
        </w:rPr>
      </w:pPr>
    </w:p>
    <w:p w14:paraId="7A3B5C73" w14:textId="383F93DC" w:rsidR="00E54130" w:rsidRPr="001045B7" w:rsidRDefault="009208A6"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4</w:t>
      </w:r>
      <w:r w:rsidR="00206ABB" w:rsidRPr="001045B7">
        <w:rPr>
          <w:rFonts w:asciiTheme="minorHAnsi" w:hAnsiTheme="minorHAnsi" w:cstheme="minorHAnsi"/>
          <w:sz w:val="17"/>
          <w:szCs w:val="17"/>
        </w:rPr>
        <w:t>4</w:t>
      </w:r>
      <w:r w:rsidR="00E54130" w:rsidRPr="001045B7">
        <w:rPr>
          <w:rFonts w:asciiTheme="minorHAnsi" w:hAnsiTheme="minorHAnsi" w:cstheme="minorHAnsi"/>
          <w:sz w:val="17"/>
          <w:szCs w:val="17"/>
        </w:rPr>
        <w:t>% (</w:t>
      </w:r>
      <w:r w:rsidRPr="001045B7">
        <w:rPr>
          <w:rFonts w:asciiTheme="minorHAnsi" w:hAnsiTheme="minorHAnsi" w:cstheme="minorHAnsi"/>
          <w:sz w:val="17"/>
          <w:szCs w:val="17"/>
        </w:rPr>
        <w:t xml:space="preserve">cuarenta y </w:t>
      </w:r>
      <w:r w:rsidR="00206ABB" w:rsidRPr="001045B7">
        <w:rPr>
          <w:rFonts w:asciiTheme="minorHAnsi" w:hAnsiTheme="minorHAnsi" w:cstheme="minorHAnsi"/>
          <w:sz w:val="17"/>
          <w:szCs w:val="17"/>
        </w:rPr>
        <w:t>cuatro</w:t>
      </w:r>
      <w:r w:rsidR="00E54130" w:rsidRPr="001045B7">
        <w:rPr>
          <w:rFonts w:asciiTheme="minorHAnsi" w:hAnsiTheme="minorHAnsi" w:cstheme="minorHAnsi"/>
          <w:sz w:val="17"/>
          <w:szCs w:val="17"/>
        </w:rPr>
        <w:t xml:space="preserve"> por ciento) de los ingresos de gestión está representado por Impuesto sobre Nómina y Asimilables, seguido de</w:t>
      </w:r>
      <w:r w:rsidR="005E43CA" w:rsidRPr="001045B7">
        <w:rPr>
          <w:rFonts w:asciiTheme="minorHAnsi" w:hAnsiTheme="minorHAnsi" w:cstheme="minorHAnsi"/>
          <w:sz w:val="17"/>
          <w:szCs w:val="17"/>
        </w:rPr>
        <w:t xml:space="preserve"> Derechos por Prestación de Servicios </w:t>
      </w:r>
      <w:r w:rsidRPr="001045B7">
        <w:rPr>
          <w:rFonts w:asciiTheme="minorHAnsi" w:hAnsiTheme="minorHAnsi" w:cstheme="minorHAnsi"/>
          <w:sz w:val="17"/>
          <w:szCs w:val="17"/>
        </w:rPr>
        <w:t xml:space="preserve">con un </w:t>
      </w:r>
      <w:r w:rsidR="005E43CA" w:rsidRPr="001045B7">
        <w:rPr>
          <w:rFonts w:asciiTheme="minorHAnsi" w:hAnsiTheme="minorHAnsi" w:cstheme="minorHAnsi"/>
          <w:sz w:val="17"/>
          <w:szCs w:val="17"/>
        </w:rPr>
        <w:t>19</w:t>
      </w:r>
      <w:r w:rsidR="005C422A" w:rsidRPr="001045B7">
        <w:rPr>
          <w:rFonts w:asciiTheme="minorHAnsi" w:hAnsiTheme="minorHAnsi" w:cstheme="minorHAnsi"/>
          <w:sz w:val="17"/>
          <w:szCs w:val="17"/>
        </w:rPr>
        <w:t>% (</w:t>
      </w:r>
      <w:r w:rsidR="005E43CA" w:rsidRPr="001045B7">
        <w:rPr>
          <w:rFonts w:asciiTheme="minorHAnsi" w:hAnsiTheme="minorHAnsi" w:cstheme="minorHAnsi"/>
          <w:sz w:val="17"/>
          <w:szCs w:val="17"/>
        </w:rPr>
        <w:t>diecinueve</w:t>
      </w:r>
      <w:r w:rsidR="005C422A" w:rsidRPr="001045B7">
        <w:rPr>
          <w:rFonts w:asciiTheme="minorHAnsi" w:hAnsiTheme="minorHAnsi" w:cstheme="minorHAnsi"/>
          <w:sz w:val="17"/>
          <w:szCs w:val="17"/>
        </w:rPr>
        <w:t xml:space="preserve"> por ciento)</w:t>
      </w:r>
      <w:r w:rsidR="00E54130" w:rsidRPr="001045B7">
        <w:rPr>
          <w:rFonts w:asciiTheme="minorHAnsi" w:hAnsiTheme="minorHAnsi" w:cstheme="minorHAnsi"/>
          <w:sz w:val="17"/>
          <w:szCs w:val="17"/>
        </w:rPr>
        <w:t>.</w:t>
      </w:r>
      <w:r w:rsidR="00F062AB" w:rsidRPr="001045B7">
        <w:rPr>
          <w:rFonts w:asciiTheme="minorHAnsi" w:hAnsiTheme="minorHAnsi" w:cstheme="minorHAnsi"/>
          <w:sz w:val="17"/>
          <w:szCs w:val="17"/>
        </w:rPr>
        <w:t xml:space="preserve"> </w:t>
      </w:r>
      <w:r w:rsidR="00E54130" w:rsidRPr="001045B7">
        <w:rPr>
          <w:rFonts w:asciiTheme="minorHAnsi" w:hAnsiTheme="minorHAnsi" w:cstheme="minorHAnsi"/>
          <w:sz w:val="17"/>
          <w:szCs w:val="17"/>
        </w:rPr>
        <w:t>Los in</w:t>
      </w:r>
      <w:r w:rsidR="005C422A" w:rsidRPr="001045B7">
        <w:rPr>
          <w:rFonts w:asciiTheme="minorHAnsi" w:hAnsiTheme="minorHAnsi" w:cstheme="minorHAnsi"/>
          <w:sz w:val="17"/>
          <w:szCs w:val="17"/>
        </w:rPr>
        <w:t>gresos aprobados que se espera</w:t>
      </w:r>
      <w:r w:rsidR="00685D10" w:rsidRPr="001045B7">
        <w:rPr>
          <w:rFonts w:asciiTheme="minorHAnsi" w:hAnsiTheme="minorHAnsi" w:cstheme="minorHAnsi"/>
          <w:sz w:val="17"/>
          <w:szCs w:val="17"/>
        </w:rPr>
        <w:t>ban</w:t>
      </w:r>
      <w:r w:rsidR="00E54130" w:rsidRPr="001045B7">
        <w:rPr>
          <w:rFonts w:asciiTheme="minorHAnsi" w:hAnsiTheme="minorHAnsi" w:cstheme="minorHAnsi"/>
          <w:sz w:val="17"/>
          <w:szCs w:val="17"/>
        </w:rPr>
        <w:t xml:space="preserve"> recibir </w:t>
      </w:r>
      <w:r w:rsidR="008E7DE6" w:rsidRPr="001045B7">
        <w:rPr>
          <w:rFonts w:asciiTheme="minorHAnsi" w:hAnsiTheme="minorHAnsi" w:cstheme="minorHAnsi"/>
          <w:sz w:val="17"/>
          <w:szCs w:val="17"/>
        </w:rPr>
        <w:t>en el ejercicio fiscal 2024</w:t>
      </w:r>
      <w:r w:rsidR="00E54130" w:rsidRPr="001045B7">
        <w:rPr>
          <w:rFonts w:asciiTheme="minorHAnsi" w:hAnsiTheme="minorHAnsi" w:cstheme="minorHAnsi"/>
          <w:sz w:val="17"/>
          <w:szCs w:val="17"/>
        </w:rPr>
        <w:t>, se detallan de manera puntual en la Ley de Ingresos del Estado de Queréta</w:t>
      </w:r>
      <w:r w:rsidR="008E7DE6" w:rsidRPr="001045B7">
        <w:rPr>
          <w:rFonts w:asciiTheme="minorHAnsi" w:hAnsiTheme="minorHAnsi" w:cstheme="minorHAnsi"/>
          <w:sz w:val="17"/>
          <w:szCs w:val="17"/>
        </w:rPr>
        <w:t>ro para el ejercicio fiscal 2024</w:t>
      </w:r>
      <w:r w:rsidR="00E54130" w:rsidRPr="001045B7">
        <w:rPr>
          <w:rFonts w:asciiTheme="minorHAnsi" w:hAnsiTheme="minorHAnsi" w:cstheme="minorHAnsi"/>
          <w:sz w:val="17"/>
          <w:szCs w:val="17"/>
        </w:rPr>
        <w:t>.</w:t>
      </w:r>
    </w:p>
    <w:p w14:paraId="3C7CCFAE" w14:textId="631A88A7" w:rsidR="00306804" w:rsidRPr="001045B7" w:rsidRDefault="00306804" w:rsidP="00860054">
      <w:pPr>
        <w:spacing w:line="276" w:lineRule="auto"/>
        <w:jc w:val="both"/>
        <w:rPr>
          <w:rFonts w:asciiTheme="minorHAnsi" w:hAnsiTheme="minorHAnsi" w:cstheme="minorHAnsi"/>
          <w:sz w:val="17"/>
          <w:szCs w:val="17"/>
        </w:rPr>
      </w:pPr>
    </w:p>
    <w:p w14:paraId="0BF9662F" w14:textId="77777777" w:rsidR="00FB6501" w:rsidRPr="001045B7" w:rsidRDefault="00FB6501" w:rsidP="00860054">
      <w:pPr>
        <w:spacing w:line="276" w:lineRule="auto"/>
        <w:jc w:val="both"/>
        <w:rPr>
          <w:rFonts w:asciiTheme="minorHAnsi" w:hAnsiTheme="minorHAnsi" w:cstheme="minorHAnsi"/>
          <w:sz w:val="17"/>
          <w:szCs w:val="17"/>
        </w:rPr>
      </w:pPr>
    </w:p>
    <w:p w14:paraId="3519DF82" w14:textId="480C595F" w:rsidR="00E54130" w:rsidRPr="001045B7" w:rsidRDefault="00E54130" w:rsidP="00860054">
      <w:pPr>
        <w:pStyle w:val="Prrafodelista"/>
        <w:numPr>
          <w:ilvl w:val="0"/>
          <w:numId w:val="26"/>
        </w:numPr>
        <w:spacing w:line="276" w:lineRule="auto"/>
        <w:rPr>
          <w:rFonts w:asciiTheme="minorHAnsi" w:hAnsiTheme="minorHAnsi" w:cstheme="minorHAnsi"/>
          <w:b/>
          <w:sz w:val="17"/>
          <w:szCs w:val="17"/>
        </w:rPr>
      </w:pPr>
      <w:r w:rsidRPr="001045B7">
        <w:rPr>
          <w:rFonts w:asciiTheme="minorHAnsi" w:hAnsiTheme="minorHAnsi" w:cstheme="minorHAnsi"/>
          <w:b/>
          <w:sz w:val="17"/>
          <w:szCs w:val="17"/>
        </w:rPr>
        <w:t>Información sobre la Deuda y el Reporte Analítico de la Deuda</w:t>
      </w:r>
    </w:p>
    <w:p w14:paraId="4EE75555" w14:textId="0AB492C0" w:rsidR="00E41E6E" w:rsidRPr="001045B7" w:rsidRDefault="00E41E6E" w:rsidP="00E41E6E">
      <w:pPr>
        <w:spacing w:line="276" w:lineRule="auto"/>
        <w:rPr>
          <w:rFonts w:asciiTheme="minorHAnsi" w:hAnsiTheme="minorHAnsi" w:cstheme="minorHAnsi"/>
          <w:b/>
          <w:sz w:val="17"/>
          <w:szCs w:val="17"/>
        </w:rPr>
      </w:pPr>
    </w:p>
    <w:p w14:paraId="07C6C730" w14:textId="5563CB66" w:rsidR="00E41E6E" w:rsidRPr="001045B7" w:rsidRDefault="00E41E6E"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Sesión Ordinaria de fecha 6 de julio del 2023, el Pleno de la LX Legislatura aprobó el Dictamen de la “Iniciativa de Decreto por el que se Autoriza al Poder Ejecutivo del Estado de Querétaro y a la Agencia de Energía del Estado de Querétaro, en los términos de las Disposiciones Legales en Materia Financiera”; presentado por la Comisión de Planeación y Presupuesto.</w:t>
      </w:r>
    </w:p>
    <w:p w14:paraId="43838CD0" w14:textId="77777777" w:rsidR="00E41E6E" w:rsidRPr="001045B7" w:rsidRDefault="00E41E6E"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En fecha 14 de julio de 2023, se publicó en el Periódico Oficial del Gobierno del Estado de Querétaro “La Sombra de Arteaga”, el Decreto por el que la Sexagésima Legislatura del Estado de Querétaro autoriza al Poder Ejecutivo del Estado de Querétaro y a la Agencia de Energía del Estado de Querétaro, en los términos de las Disposiciones Legales en materia financiera, el cual fue autorizado por unanimidad, con 24 (veinticuatro) votos de los integrantes de la Sexagésima Legislatura del Estado de Querétaro.</w:t>
      </w:r>
    </w:p>
    <w:p w14:paraId="174FA1DD" w14:textId="69DC4D04" w:rsidR="00E41E6E" w:rsidRPr="001045B7" w:rsidRDefault="00E41E6E"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 </w:t>
      </w:r>
    </w:p>
    <w:p w14:paraId="11DFE050" w14:textId="63A8AE70" w:rsidR="00E41E6E" w:rsidRPr="001045B7" w:rsidRDefault="00E41E6E"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Atendiendo a lo señalado en el Artículo Quinto del Acuerdo citado en el punto anterior, el Poder Ejecutivo del Estado de Querétaro, por conducto de la Secretaría de Finanzas, instrumentó el Proceso Competitivo para la Contratación de Financiamiento a Largo Plazo No. </w:t>
      </w:r>
      <w:proofErr w:type="spellStart"/>
      <w:r w:rsidRPr="001045B7">
        <w:rPr>
          <w:rFonts w:asciiTheme="minorHAnsi" w:hAnsiTheme="minorHAnsi" w:cstheme="minorHAnsi"/>
          <w:sz w:val="17"/>
          <w:szCs w:val="17"/>
        </w:rPr>
        <w:t>PCCF</w:t>
      </w:r>
      <w:proofErr w:type="spellEnd"/>
      <w:r w:rsidRPr="001045B7">
        <w:rPr>
          <w:rFonts w:asciiTheme="minorHAnsi" w:hAnsiTheme="minorHAnsi" w:cstheme="minorHAnsi"/>
          <w:sz w:val="17"/>
          <w:szCs w:val="17"/>
        </w:rPr>
        <w:t xml:space="preserve">/001/2023-1, cuya convocatoria se publicó en fecha 17 de julio del 2023 en los medios oficiales, siendo dados a conocer los resultados, comparativo de ofertas, Acta de fallo, Fe de Erratas y  Aclaración al Fallo, todas de fecha 10 de agosto del 2023, las Instituciones Financieras que presentaron las mejores condiciones de mercado, el costo financiero más bajo y a las que se les adjudico el financiamiento, Banco Santander México, S.A., Institución de Banca Múltiple, Grupo Financiero Santander por un monto que asciende a 2,200,000,000.00 (Dos mil doscientos millones de pesos 00/100 M.N.) y Banco Nacional de México S.A., Integrante del Grupo Financiero Banamex por un monto que asciende a 1,100,000,000.00 (Un mil cien millones de pesos 00/100 M.N.).  </w:t>
      </w:r>
    </w:p>
    <w:p w14:paraId="68707BDA" w14:textId="77777777" w:rsidR="00F52BD4" w:rsidRPr="001045B7" w:rsidRDefault="00F52BD4" w:rsidP="001174F8">
      <w:pPr>
        <w:spacing w:line="276" w:lineRule="auto"/>
        <w:jc w:val="both"/>
        <w:rPr>
          <w:rFonts w:asciiTheme="minorHAnsi" w:hAnsiTheme="minorHAnsi" w:cstheme="minorHAnsi"/>
          <w:sz w:val="17"/>
          <w:szCs w:val="17"/>
        </w:rPr>
      </w:pPr>
    </w:p>
    <w:p w14:paraId="4C6E8A58" w14:textId="2A92FF68" w:rsidR="00E41E6E" w:rsidRDefault="00E41E6E"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fecha 18 de septiembre del 2023, se realizó la inscripción de los Financiamientos en el Registro Estatal de la Secretaría de Finanzas del Poder Ejecutivo del Estado de Querétaro y en el Registro Público Único de la Secretaría de Hacienda y Crédito Público. Asimismo, la página de internet oficial a través de la cual se puede consultar la información del proceso de adjudicación y contratación de la Deuda Pública es: </w:t>
      </w:r>
      <w:hyperlink r:id="rId14" w:history="1">
        <w:r w:rsidR="00160A33" w:rsidRPr="00C84BAE">
          <w:rPr>
            <w:rStyle w:val="Hipervnculo"/>
            <w:rFonts w:asciiTheme="minorHAnsi" w:hAnsiTheme="minorHAnsi" w:cstheme="minorHAnsi"/>
            <w:sz w:val="17"/>
            <w:szCs w:val="17"/>
          </w:rPr>
          <w:t>https://</w:t>
        </w:r>
        <w:proofErr w:type="spellStart"/>
        <w:r w:rsidR="00160A33" w:rsidRPr="00C84BAE">
          <w:rPr>
            <w:rStyle w:val="Hipervnculo"/>
            <w:rFonts w:asciiTheme="minorHAnsi" w:hAnsiTheme="minorHAnsi" w:cstheme="minorHAnsi"/>
            <w:sz w:val="17"/>
            <w:szCs w:val="17"/>
          </w:rPr>
          <w:t>impulso.queretaro.gob.mx</w:t>
        </w:r>
        <w:proofErr w:type="spellEnd"/>
        <w:r w:rsidR="00160A33" w:rsidRPr="00C84BAE">
          <w:rPr>
            <w:rStyle w:val="Hipervnculo"/>
            <w:rFonts w:asciiTheme="minorHAnsi" w:hAnsiTheme="minorHAnsi" w:cstheme="minorHAnsi"/>
            <w:sz w:val="17"/>
            <w:szCs w:val="17"/>
          </w:rPr>
          <w:t>/</w:t>
        </w:r>
      </w:hyperlink>
      <w:r w:rsidRPr="001045B7">
        <w:rPr>
          <w:rFonts w:asciiTheme="minorHAnsi" w:hAnsiTheme="minorHAnsi" w:cstheme="minorHAnsi"/>
          <w:sz w:val="17"/>
          <w:szCs w:val="17"/>
        </w:rPr>
        <w:t>.</w:t>
      </w:r>
    </w:p>
    <w:p w14:paraId="6A7111E8" w14:textId="77777777" w:rsidR="00160A33" w:rsidRPr="001045B7" w:rsidRDefault="00160A33" w:rsidP="001174F8">
      <w:pPr>
        <w:spacing w:line="276" w:lineRule="auto"/>
        <w:jc w:val="both"/>
        <w:rPr>
          <w:rFonts w:asciiTheme="minorHAnsi" w:hAnsiTheme="minorHAnsi" w:cstheme="minorHAnsi"/>
          <w:sz w:val="17"/>
          <w:szCs w:val="17"/>
        </w:rPr>
      </w:pPr>
    </w:p>
    <w:p w14:paraId="61B09E28" w14:textId="7A0788F7" w:rsidR="00565033" w:rsidRPr="001045B7" w:rsidRDefault="00D23723" w:rsidP="001174F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Que en cumplimiento a la Cláusula Tercera "Disposición del Crédito" del Contrato de Apertura de Crédito Simple celebrado con el Banco Santander de México, S.A. de C.V. Institución de Banca Múltiple, Grupo Financiero Santander México, al </w:t>
      </w:r>
      <w:proofErr w:type="spellStart"/>
      <w:r w:rsidRPr="001045B7">
        <w:rPr>
          <w:rFonts w:asciiTheme="minorHAnsi" w:hAnsiTheme="minorHAnsi" w:cstheme="minorHAnsi"/>
          <w:sz w:val="17"/>
          <w:szCs w:val="17"/>
        </w:rPr>
        <w:t>2do</w:t>
      </w:r>
      <w:proofErr w:type="spellEnd"/>
      <w:r w:rsidRPr="001045B7">
        <w:rPr>
          <w:rFonts w:asciiTheme="minorHAnsi" w:hAnsiTheme="minorHAnsi" w:cstheme="minorHAnsi"/>
          <w:sz w:val="17"/>
          <w:szCs w:val="17"/>
        </w:rPr>
        <w:t xml:space="preserve"> Trimestre 2024 se dispuso la totalidad del crédito contratado, importe que asciende a  2,200,000,000.00 (Dos mil doscientos millones de pesos 00/100 M.N.); así mismo, y en cumplimiento a la Cláusula Tercera "Disposición del Crédito" del Contrato de Apertura de Crédito Simple celebrado con el Banco Nacional de México, S.A., integrante del Grupo Financiero Banamex, al </w:t>
      </w:r>
      <w:proofErr w:type="spellStart"/>
      <w:r w:rsidRPr="001045B7">
        <w:rPr>
          <w:rFonts w:asciiTheme="minorHAnsi" w:hAnsiTheme="minorHAnsi" w:cstheme="minorHAnsi"/>
          <w:sz w:val="17"/>
          <w:szCs w:val="17"/>
        </w:rPr>
        <w:t>2do</w:t>
      </w:r>
      <w:proofErr w:type="spellEnd"/>
      <w:r w:rsidRPr="001045B7">
        <w:rPr>
          <w:rFonts w:asciiTheme="minorHAnsi" w:hAnsiTheme="minorHAnsi" w:cstheme="minorHAnsi"/>
          <w:sz w:val="17"/>
          <w:szCs w:val="17"/>
        </w:rPr>
        <w:t xml:space="preserve"> Trimestre 2024 se dispuso la totalidad del crédito contratado, importe que asciende a  1,100,000.000.00 (Un mil cien millones de pesos 00/100 M.N.)</w:t>
      </w:r>
    </w:p>
    <w:tbl>
      <w:tblPr>
        <w:tblW w:w="13750" w:type="dxa"/>
        <w:tblCellMar>
          <w:left w:w="70" w:type="dxa"/>
          <w:right w:w="70" w:type="dxa"/>
        </w:tblCellMar>
        <w:tblLook w:val="04A0" w:firstRow="1" w:lastRow="0" w:firstColumn="1" w:lastColumn="0" w:noHBand="0" w:noVBand="1"/>
      </w:tblPr>
      <w:tblGrid>
        <w:gridCol w:w="1240"/>
        <w:gridCol w:w="825"/>
        <w:gridCol w:w="1824"/>
        <w:gridCol w:w="1498"/>
        <w:gridCol w:w="1276"/>
        <w:gridCol w:w="1134"/>
        <w:gridCol w:w="1559"/>
        <w:gridCol w:w="1417"/>
        <w:gridCol w:w="1418"/>
        <w:gridCol w:w="1559"/>
      </w:tblGrid>
      <w:tr w:rsidR="002A7B90" w:rsidRPr="001045B7" w14:paraId="222DBD1B" w14:textId="77777777" w:rsidTr="00F52BD4">
        <w:trPr>
          <w:trHeight w:val="80"/>
        </w:trPr>
        <w:tc>
          <w:tcPr>
            <w:tcW w:w="13750" w:type="dxa"/>
            <w:gridSpan w:val="10"/>
            <w:tcBorders>
              <w:top w:val="nil"/>
              <w:left w:val="nil"/>
              <w:bottom w:val="nil"/>
              <w:right w:val="nil"/>
            </w:tcBorders>
            <w:shd w:val="clear" w:color="auto" w:fill="auto"/>
            <w:vAlign w:val="center"/>
            <w:hideMark/>
          </w:tcPr>
          <w:p w14:paraId="3CEB1913" w14:textId="2DFF0E02"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Gobierno del Estado de Querétaro</w:t>
            </w:r>
          </w:p>
        </w:tc>
      </w:tr>
      <w:tr w:rsidR="002A7B90" w:rsidRPr="001045B7" w14:paraId="09F0EA95" w14:textId="77777777" w:rsidTr="00F52BD4">
        <w:trPr>
          <w:trHeight w:val="80"/>
        </w:trPr>
        <w:tc>
          <w:tcPr>
            <w:tcW w:w="13750" w:type="dxa"/>
            <w:gridSpan w:val="10"/>
            <w:tcBorders>
              <w:top w:val="nil"/>
              <w:left w:val="nil"/>
              <w:bottom w:val="nil"/>
              <w:right w:val="nil"/>
            </w:tcBorders>
            <w:shd w:val="clear" w:color="auto" w:fill="auto"/>
            <w:vAlign w:val="center"/>
            <w:hideMark/>
          </w:tcPr>
          <w:p w14:paraId="4FBC680F"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Poder Ejecutivo</w:t>
            </w:r>
          </w:p>
        </w:tc>
      </w:tr>
      <w:tr w:rsidR="002A7B90" w:rsidRPr="001045B7" w14:paraId="6C9A5C6A" w14:textId="77777777" w:rsidTr="00F52BD4">
        <w:trPr>
          <w:trHeight w:val="80"/>
        </w:trPr>
        <w:tc>
          <w:tcPr>
            <w:tcW w:w="13750" w:type="dxa"/>
            <w:gridSpan w:val="10"/>
            <w:tcBorders>
              <w:top w:val="nil"/>
              <w:left w:val="nil"/>
              <w:right w:val="nil"/>
            </w:tcBorders>
            <w:shd w:val="clear" w:color="auto" w:fill="auto"/>
            <w:vAlign w:val="center"/>
            <w:hideMark/>
          </w:tcPr>
          <w:p w14:paraId="7A641584"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Formato de información de obligaciones pagadas o garantizadas con fondos federales</w:t>
            </w:r>
          </w:p>
        </w:tc>
      </w:tr>
      <w:tr w:rsidR="002A7B90" w:rsidRPr="001045B7" w14:paraId="1CCC33D1" w14:textId="77777777" w:rsidTr="00F52BD4">
        <w:trPr>
          <w:trHeight w:val="80"/>
        </w:trPr>
        <w:tc>
          <w:tcPr>
            <w:tcW w:w="13750" w:type="dxa"/>
            <w:gridSpan w:val="10"/>
            <w:tcBorders>
              <w:top w:val="nil"/>
              <w:left w:val="nil"/>
              <w:bottom w:val="nil"/>
            </w:tcBorders>
            <w:shd w:val="clear" w:color="auto" w:fill="auto"/>
            <w:vAlign w:val="center"/>
            <w:hideMark/>
          </w:tcPr>
          <w:p w14:paraId="78D84B43" w14:textId="2D9958C9" w:rsidR="00F52BD4" w:rsidRPr="001045B7" w:rsidRDefault="002009D5" w:rsidP="00F52BD4">
            <w:pPr>
              <w:jc w:val="center"/>
              <w:rPr>
                <w:rFonts w:asciiTheme="minorHAnsi" w:hAnsiTheme="minorHAnsi" w:cstheme="minorHAnsi"/>
                <w:b/>
                <w:bCs/>
                <w:sz w:val="17"/>
                <w:szCs w:val="17"/>
              </w:rPr>
            </w:pPr>
            <w:r w:rsidRPr="001045B7">
              <w:rPr>
                <w:rFonts w:asciiTheme="minorHAnsi" w:hAnsiTheme="minorHAnsi" w:cstheme="minorHAnsi"/>
                <w:b/>
                <w:bCs/>
                <w:sz w:val="17"/>
                <w:szCs w:val="17"/>
              </w:rPr>
              <w:t xml:space="preserve">Al período al </w:t>
            </w:r>
            <w:proofErr w:type="spellStart"/>
            <w:r w:rsidR="003D603B" w:rsidRPr="001045B7">
              <w:rPr>
                <w:rFonts w:asciiTheme="minorHAnsi" w:hAnsiTheme="minorHAnsi" w:cstheme="minorHAnsi"/>
                <w:b/>
                <w:bCs/>
                <w:sz w:val="17"/>
                <w:szCs w:val="17"/>
              </w:rPr>
              <w:t>4to</w:t>
            </w:r>
            <w:proofErr w:type="spellEnd"/>
            <w:r w:rsidRPr="001045B7">
              <w:rPr>
                <w:rFonts w:asciiTheme="minorHAnsi" w:hAnsiTheme="minorHAnsi" w:cstheme="minorHAnsi"/>
                <w:b/>
                <w:bCs/>
                <w:sz w:val="17"/>
                <w:szCs w:val="17"/>
              </w:rPr>
              <w:t xml:space="preserve"> trimestre de 2024</w:t>
            </w:r>
          </w:p>
        </w:tc>
      </w:tr>
      <w:tr w:rsidR="002A7B90" w:rsidRPr="001045B7" w14:paraId="51C87D5C" w14:textId="77777777" w:rsidTr="00F52BD4">
        <w:trPr>
          <w:trHeight w:val="150"/>
        </w:trPr>
        <w:tc>
          <w:tcPr>
            <w:tcW w:w="1240" w:type="dxa"/>
            <w:tcBorders>
              <w:top w:val="nil"/>
              <w:left w:val="nil"/>
              <w:bottom w:val="nil"/>
              <w:right w:val="nil"/>
            </w:tcBorders>
            <w:shd w:val="clear" w:color="auto" w:fill="auto"/>
            <w:vAlign w:val="center"/>
            <w:hideMark/>
          </w:tcPr>
          <w:p w14:paraId="60EC90BF" w14:textId="77777777" w:rsidR="002A7B90" w:rsidRPr="001045B7" w:rsidRDefault="002A7B90" w:rsidP="00F52BD4">
            <w:pPr>
              <w:rPr>
                <w:rFonts w:asciiTheme="minorHAnsi" w:hAnsiTheme="minorHAnsi" w:cstheme="minorHAnsi"/>
                <w:b/>
                <w:bCs/>
                <w:sz w:val="17"/>
                <w:szCs w:val="17"/>
              </w:rPr>
            </w:pPr>
          </w:p>
        </w:tc>
        <w:tc>
          <w:tcPr>
            <w:tcW w:w="825" w:type="dxa"/>
            <w:tcBorders>
              <w:top w:val="nil"/>
              <w:left w:val="nil"/>
              <w:bottom w:val="nil"/>
              <w:right w:val="nil"/>
            </w:tcBorders>
            <w:shd w:val="clear" w:color="auto" w:fill="auto"/>
            <w:vAlign w:val="center"/>
            <w:hideMark/>
          </w:tcPr>
          <w:p w14:paraId="6E79D596" w14:textId="77777777" w:rsidR="002A7B90" w:rsidRPr="001045B7" w:rsidRDefault="002A7B90">
            <w:pPr>
              <w:jc w:val="center"/>
              <w:rPr>
                <w:rFonts w:asciiTheme="minorHAnsi" w:hAnsiTheme="minorHAnsi" w:cstheme="minorHAnsi"/>
                <w:sz w:val="17"/>
                <w:szCs w:val="17"/>
              </w:rPr>
            </w:pPr>
          </w:p>
        </w:tc>
        <w:tc>
          <w:tcPr>
            <w:tcW w:w="1824" w:type="dxa"/>
            <w:tcBorders>
              <w:top w:val="nil"/>
              <w:left w:val="nil"/>
              <w:bottom w:val="nil"/>
              <w:right w:val="nil"/>
            </w:tcBorders>
            <w:shd w:val="clear" w:color="auto" w:fill="auto"/>
            <w:vAlign w:val="center"/>
            <w:hideMark/>
          </w:tcPr>
          <w:p w14:paraId="5303D267" w14:textId="77777777" w:rsidR="002A7B90" w:rsidRPr="001045B7" w:rsidRDefault="002A7B90">
            <w:pPr>
              <w:jc w:val="center"/>
              <w:rPr>
                <w:rFonts w:asciiTheme="minorHAnsi" w:hAnsiTheme="minorHAnsi" w:cstheme="minorHAnsi"/>
                <w:sz w:val="17"/>
                <w:szCs w:val="17"/>
              </w:rPr>
            </w:pPr>
          </w:p>
        </w:tc>
        <w:tc>
          <w:tcPr>
            <w:tcW w:w="1498" w:type="dxa"/>
            <w:tcBorders>
              <w:top w:val="nil"/>
              <w:left w:val="nil"/>
              <w:bottom w:val="nil"/>
              <w:right w:val="nil"/>
            </w:tcBorders>
            <w:shd w:val="clear" w:color="auto" w:fill="auto"/>
            <w:vAlign w:val="center"/>
            <w:hideMark/>
          </w:tcPr>
          <w:p w14:paraId="54AB9D72" w14:textId="77777777" w:rsidR="002A7B90" w:rsidRPr="001045B7" w:rsidRDefault="002A7B90">
            <w:pPr>
              <w:jc w:val="center"/>
              <w:rPr>
                <w:rFonts w:asciiTheme="minorHAnsi" w:hAnsiTheme="minorHAnsi" w:cstheme="minorHAnsi"/>
                <w:sz w:val="17"/>
                <w:szCs w:val="17"/>
              </w:rPr>
            </w:pPr>
          </w:p>
        </w:tc>
        <w:tc>
          <w:tcPr>
            <w:tcW w:w="1276" w:type="dxa"/>
            <w:tcBorders>
              <w:top w:val="nil"/>
              <w:left w:val="nil"/>
              <w:bottom w:val="nil"/>
              <w:right w:val="nil"/>
            </w:tcBorders>
            <w:shd w:val="clear" w:color="auto" w:fill="auto"/>
            <w:vAlign w:val="center"/>
            <w:hideMark/>
          </w:tcPr>
          <w:p w14:paraId="56C40B0F" w14:textId="77777777" w:rsidR="002A7B90" w:rsidRPr="001045B7" w:rsidRDefault="002A7B90">
            <w:pPr>
              <w:jc w:val="center"/>
              <w:rPr>
                <w:rFonts w:asciiTheme="minorHAnsi" w:hAnsiTheme="minorHAnsi" w:cstheme="minorHAnsi"/>
                <w:sz w:val="17"/>
                <w:szCs w:val="17"/>
              </w:rPr>
            </w:pPr>
          </w:p>
        </w:tc>
        <w:tc>
          <w:tcPr>
            <w:tcW w:w="1134" w:type="dxa"/>
            <w:tcBorders>
              <w:top w:val="nil"/>
              <w:left w:val="nil"/>
              <w:bottom w:val="nil"/>
              <w:right w:val="nil"/>
            </w:tcBorders>
            <w:shd w:val="clear" w:color="auto" w:fill="auto"/>
            <w:vAlign w:val="center"/>
            <w:hideMark/>
          </w:tcPr>
          <w:p w14:paraId="39E926D3" w14:textId="77777777" w:rsidR="002A7B90" w:rsidRPr="001045B7" w:rsidRDefault="002A7B90">
            <w:pPr>
              <w:jc w:val="center"/>
              <w:rPr>
                <w:rFonts w:asciiTheme="minorHAnsi" w:hAnsiTheme="minorHAnsi" w:cstheme="minorHAnsi"/>
                <w:sz w:val="17"/>
                <w:szCs w:val="17"/>
              </w:rPr>
            </w:pPr>
          </w:p>
        </w:tc>
        <w:tc>
          <w:tcPr>
            <w:tcW w:w="1559" w:type="dxa"/>
            <w:tcBorders>
              <w:top w:val="nil"/>
              <w:left w:val="nil"/>
              <w:bottom w:val="nil"/>
              <w:right w:val="nil"/>
            </w:tcBorders>
            <w:shd w:val="clear" w:color="auto" w:fill="auto"/>
            <w:vAlign w:val="center"/>
            <w:hideMark/>
          </w:tcPr>
          <w:p w14:paraId="40834777" w14:textId="77777777" w:rsidR="002A7B90" w:rsidRPr="001045B7" w:rsidRDefault="002A7B90">
            <w:pPr>
              <w:jc w:val="center"/>
              <w:rPr>
                <w:rFonts w:asciiTheme="minorHAnsi" w:hAnsiTheme="minorHAnsi" w:cstheme="minorHAnsi"/>
                <w:sz w:val="17"/>
                <w:szCs w:val="17"/>
              </w:rPr>
            </w:pPr>
          </w:p>
        </w:tc>
        <w:tc>
          <w:tcPr>
            <w:tcW w:w="1417" w:type="dxa"/>
            <w:tcBorders>
              <w:top w:val="nil"/>
              <w:left w:val="nil"/>
              <w:bottom w:val="nil"/>
              <w:right w:val="nil"/>
            </w:tcBorders>
            <w:shd w:val="clear" w:color="auto" w:fill="auto"/>
            <w:vAlign w:val="center"/>
            <w:hideMark/>
          </w:tcPr>
          <w:p w14:paraId="07597FC5" w14:textId="77777777" w:rsidR="002A7B90" w:rsidRPr="001045B7" w:rsidRDefault="002A7B90">
            <w:pPr>
              <w:jc w:val="center"/>
              <w:rPr>
                <w:rFonts w:asciiTheme="minorHAnsi" w:hAnsiTheme="minorHAnsi" w:cstheme="minorHAnsi"/>
                <w:sz w:val="17"/>
                <w:szCs w:val="17"/>
              </w:rPr>
            </w:pPr>
          </w:p>
        </w:tc>
        <w:tc>
          <w:tcPr>
            <w:tcW w:w="1418" w:type="dxa"/>
            <w:tcBorders>
              <w:top w:val="nil"/>
              <w:left w:val="nil"/>
              <w:bottom w:val="nil"/>
              <w:right w:val="nil"/>
            </w:tcBorders>
            <w:shd w:val="clear" w:color="auto" w:fill="auto"/>
            <w:vAlign w:val="center"/>
            <w:hideMark/>
          </w:tcPr>
          <w:p w14:paraId="0F874C63" w14:textId="77777777" w:rsidR="002A7B90" w:rsidRPr="001045B7" w:rsidRDefault="002A7B90">
            <w:pPr>
              <w:jc w:val="center"/>
              <w:rPr>
                <w:rFonts w:asciiTheme="minorHAnsi" w:hAnsiTheme="minorHAnsi" w:cstheme="minorHAnsi"/>
                <w:sz w:val="17"/>
                <w:szCs w:val="17"/>
              </w:rPr>
            </w:pPr>
          </w:p>
        </w:tc>
        <w:tc>
          <w:tcPr>
            <w:tcW w:w="1559" w:type="dxa"/>
            <w:tcBorders>
              <w:top w:val="nil"/>
              <w:left w:val="nil"/>
              <w:bottom w:val="nil"/>
              <w:right w:val="nil"/>
            </w:tcBorders>
            <w:shd w:val="clear" w:color="auto" w:fill="auto"/>
            <w:vAlign w:val="center"/>
            <w:hideMark/>
          </w:tcPr>
          <w:p w14:paraId="548A1EB2" w14:textId="77777777" w:rsidR="002A7B90" w:rsidRPr="001045B7" w:rsidRDefault="002A7B90">
            <w:pPr>
              <w:jc w:val="center"/>
              <w:rPr>
                <w:rFonts w:asciiTheme="minorHAnsi" w:hAnsiTheme="minorHAnsi" w:cstheme="minorHAnsi"/>
                <w:sz w:val="17"/>
                <w:szCs w:val="17"/>
              </w:rPr>
            </w:pPr>
          </w:p>
        </w:tc>
      </w:tr>
      <w:tr w:rsidR="002A7B90" w:rsidRPr="001045B7" w14:paraId="3E8F7921" w14:textId="77777777" w:rsidTr="00F52BD4">
        <w:trPr>
          <w:trHeight w:val="689"/>
        </w:trPr>
        <w:tc>
          <w:tcPr>
            <w:tcW w:w="12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7E2571"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Tipo de Obligación</w:t>
            </w:r>
          </w:p>
        </w:tc>
        <w:tc>
          <w:tcPr>
            <w:tcW w:w="82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6F0C8E"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Plazo</w:t>
            </w:r>
          </w:p>
        </w:tc>
        <w:tc>
          <w:tcPr>
            <w:tcW w:w="182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419FBD"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Tasa</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49A150A"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Fin, Destino y Objeto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25F261"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Acreedor, Proveedor o Contratista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8D05398"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Importe Total (Dispuesto)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23DEB0"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Fondo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A22D211"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 xml:space="preserve">Importe Garantizado </w:t>
            </w:r>
          </w:p>
        </w:tc>
        <w:tc>
          <w:tcPr>
            <w:tcW w:w="2977" w:type="dxa"/>
            <w:gridSpan w:val="2"/>
            <w:tcBorders>
              <w:top w:val="single" w:sz="4" w:space="0" w:color="auto"/>
              <w:left w:val="nil"/>
              <w:bottom w:val="single" w:sz="4" w:space="0" w:color="auto"/>
              <w:right w:val="single" w:sz="4" w:space="0" w:color="auto"/>
            </w:tcBorders>
            <w:shd w:val="clear" w:color="000000" w:fill="BFBFBF"/>
            <w:vAlign w:val="center"/>
            <w:hideMark/>
          </w:tcPr>
          <w:p w14:paraId="64E19EA1"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Importe y porcentaje del total que se paga y garantiza con el recurso de dichos fondos</w:t>
            </w:r>
          </w:p>
        </w:tc>
      </w:tr>
      <w:tr w:rsidR="002A7B90" w:rsidRPr="001045B7" w14:paraId="3D379F82" w14:textId="77777777" w:rsidTr="00F52BD4">
        <w:trPr>
          <w:trHeight w:val="7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126BD62" w14:textId="77777777" w:rsidR="002A7B90" w:rsidRPr="001045B7" w:rsidRDefault="002A7B90">
            <w:pPr>
              <w:rPr>
                <w:rFonts w:asciiTheme="minorHAnsi" w:hAnsiTheme="minorHAnsi" w:cstheme="minorHAnsi"/>
                <w:b/>
                <w:bCs/>
                <w:sz w:val="17"/>
                <w:szCs w:val="17"/>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663C1CA2" w14:textId="77777777" w:rsidR="002A7B90" w:rsidRPr="001045B7" w:rsidRDefault="002A7B90">
            <w:pPr>
              <w:rPr>
                <w:rFonts w:asciiTheme="minorHAnsi" w:hAnsiTheme="minorHAnsi" w:cstheme="minorHAnsi"/>
                <w:b/>
                <w:bCs/>
                <w:sz w:val="17"/>
                <w:szCs w:val="17"/>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2B23705C" w14:textId="77777777" w:rsidR="002A7B90" w:rsidRPr="001045B7" w:rsidRDefault="002A7B90">
            <w:pPr>
              <w:rPr>
                <w:rFonts w:asciiTheme="minorHAnsi" w:hAnsiTheme="minorHAnsi" w:cstheme="minorHAnsi"/>
                <w:b/>
                <w:bCs/>
                <w:sz w:val="17"/>
                <w:szCs w:val="17"/>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099A366B" w14:textId="77777777" w:rsidR="002A7B90" w:rsidRPr="001045B7" w:rsidRDefault="002A7B90">
            <w:pPr>
              <w:rPr>
                <w:rFonts w:asciiTheme="minorHAnsi" w:hAnsiTheme="minorHAnsi" w:cstheme="minorHAnsi"/>
                <w:b/>
                <w:bCs/>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2654CC" w14:textId="77777777" w:rsidR="002A7B90" w:rsidRPr="001045B7" w:rsidRDefault="002A7B90">
            <w:pPr>
              <w:rPr>
                <w:rFonts w:asciiTheme="minorHAnsi" w:hAnsiTheme="minorHAnsi" w:cstheme="minorHAnsi"/>
                <w:b/>
                <w:bCs/>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902392" w14:textId="77777777" w:rsidR="002A7B90" w:rsidRPr="001045B7" w:rsidRDefault="002A7B90">
            <w:pPr>
              <w:rPr>
                <w:rFonts w:asciiTheme="minorHAnsi" w:hAnsiTheme="minorHAnsi" w:cstheme="minorHAnsi"/>
                <w:b/>
                <w:bCs/>
                <w:sz w:val="17"/>
                <w:szCs w:val="17"/>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B195D7" w14:textId="77777777" w:rsidR="002A7B90" w:rsidRPr="001045B7" w:rsidRDefault="002A7B90">
            <w:pPr>
              <w:rPr>
                <w:rFonts w:asciiTheme="minorHAnsi" w:hAnsiTheme="minorHAnsi" w:cstheme="minorHAnsi"/>
                <w:b/>
                <w:bCs/>
                <w:sz w:val="17"/>
                <w:szCs w:val="17"/>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CE5855" w14:textId="77777777" w:rsidR="002A7B90" w:rsidRPr="001045B7" w:rsidRDefault="002A7B90">
            <w:pPr>
              <w:rPr>
                <w:rFonts w:asciiTheme="minorHAnsi" w:hAnsiTheme="minorHAnsi" w:cstheme="minorHAnsi"/>
                <w:b/>
                <w:bCs/>
                <w:sz w:val="17"/>
                <w:szCs w:val="17"/>
              </w:rPr>
            </w:pPr>
          </w:p>
        </w:tc>
        <w:tc>
          <w:tcPr>
            <w:tcW w:w="1418" w:type="dxa"/>
            <w:tcBorders>
              <w:top w:val="nil"/>
              <w:left w:val="nil"/>
              <w:bottom w:val="single" w:sz="4" w:space="0" w:color="auto"/>
              <w:right w:val="single" w:sz="4" w:space="0" w:color="auto"/>
            </w:tcBorders>
            <w:shd w:val="clear" w:color="000000" w:fill="BFBFBF"/>
            <w:vAlign w:val="center"/>
            <w:hideMark/>
          </w:tcPr>
          <w:p w14:paraId="4F1F9F0D"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Importe Pagado</w:t>
            </w:r>
          </w:p>
        </w:tc>
        <w:tc>
          <w:tcPr>
            <w:tcW w:w="1559" w:type="dxa"/>
            <w:tcBorders>
              <w:top w:val="nil"/>
              <w:left w:val="nil"/>
              <w:bottom w:val="single" w:sz="4" w:space="0" w:color="auto"/>
              <w:right w:val="single" w:sz="4" w:space="0" w:color="auto"/>
            </w:tcBorders>
            <w:shd w:val="clear" w:color="000000" w:fill="BFBFBF"/>
            <w:vAlign w:val="center"/>
            <w:hideMark/>
          </w:tcPr>
          <w:p w14:paraId="0B259E53"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 xml:space="preserve">% respecto al total </w:t>
            </w:r>
          </w:p>
        </w:tc>
      </w:tr>
      <w:tr w:rsidR="003D603B" w:rsidRPr="001045B7" w14:paraId="43D01B14" w14:textId="77777777" w:rsidTr="002F00D4">
        <w:trPr>
          <w:trHeight w:val="122"/>
        </w:trPr>
        <w:tc>
          <w:tcPr>
            <w:tcW w:w="1240" w:type="dxa"/>
            <w:tcBorders>
              <w:top w:val="nil"/>
              <w:left w:val="single" w:sz="4" w:space="0" w:color="auto"/>
              <w:bottom w:val="single" w:sz="4" w:space="0" w:color="auto"/>
              <w:right w:val="single" w:sz="4" w:space="0" w:color="auto"/>
            </w:tcBorders>
            <w:shd w:val="clear" w:color="auto" w:fill="auto"/>
            <w:hideMark/>
          </w:tcPr>
          <w:p w14:paraId="19EF1166" w14:textId="72F89225"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Crédito Simple</w:t>
            </w:r>
          </w:p>
        </w:tc>
        <w:tc>
          <w:tcPr>
            <w:tcW w:w="825" w:type="dxa"/>
            <w:tcBorders>
              <w:top w:val="nil"/>
              <w:left w:val="nil"/>
              <w:bottom w:val="single" w:sz="4" w:space="0" w:color="auto"/>
              <w:right w:val="single" w:sz="4" w:space="0" w:color="auto"/>
            </w:tcBorders>
            <w:shd w:val="clear" w:color="auto" w:fill="auto"/>
            <w:hideMark/>
          </w:tcPr>
          <w:p w14:paraId="037B415D" w14:textId="69394419"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47 meses</w:t>
            </w:r>
          </w:p>
        </w:tc>
        <w:tc>
          <w:tcPr>
            <w:tcW w:w="1824" w:type="dxa"/>
            <w:tcBorders>
              <w:top w:val="nil"/>
              <w:left w:val="nil"/>
              <w:bottom w:val="single" w:sz="4" w:space="0" w:color="auto"/>
              <w:right w:val="single" w:sz="4" w:space="0" w:color="auto"/>
            </w:tcBorders>
            <w:shd w:val="clear" w:color="auto" w:fill="auto"/>
            <w:hideMark/>
          </w:tcPr>
          <w:p w14:paraId="2A872EF4" w14:textId="08D4E131" w:rsidR="003D603B" w:rsidRPr="001045B7" w:rsidRDefault="003D603B" w:rsidP="003D603B">
            <w:pPr>
              <w:jc w:val="center"/>
              <w:rPr>
                <w:rFonts w:asciiTheme="minorHAnsi" w:hAnsiTheme="minorHAnsi" w:cstheme="minorHAnsi"/>
                <w:color w:val="000000"/>
                <w:sz w:val="17"/>
                <w:szCs w:val="17"/>
              </w:rPr>
            </w:pPr>
            <w:proofErr w:type="spellStart"/>
            <w:r w:rsidRPr="001045B7">
              <w:rPr>
                <w:rFonts w:asciiTheme="minorHAnsi" w:hAnsiTheme="minorHAnsi" w:cstheme="minorHAnsi"/>
                <w:sz w:val="17"/>
                <w:szCs w:val="17"/>
              </w:rPr>
              <w:t>TIIE</w:t>
            </w:r>
            <w:proofErr w:type="spellEnd"/>
            <w:r w:rsidRPr="001045B7">
              <w:rPr>
                <w:rFonts w:asciiTheme="minorHAnsi" w:hAnsiTheme="minorHAnsi" w:cstheme="minorHAnsi"/>
                <w:sz w:val="17"/>
                <w:szCs w:val="17"/>
              </w:rPr>
              <w:t xml:space="preserve"> a 28 días más 15 puntos base</w:t>
            </w:r>
          </w:p>
        </w:tc>
        <w:tc>
          <w:tcPr>
            <w:tcW w:w="1498" w:type="dxa"/>
            <w:tcBorders>
              <w:top w:val="nil"/>
              <w:left w:val="nil"/>
              <w:bottom w:val="single" w:sz="4" w:space="0" w:color="auto"/>
              <w:right w:val="single" w:sz="4" w:space="0" w:color="auto"/>
            </w:tcBorders>
            <w:shd w:val="clear" w:color="auto" w:fill="auto"/>
            <w:hideMark/>
          </w:tcPr>
          <w:p w14:paraId="1F2119E3" w14:textId="6625DC3A"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INVERSIÓN PÚBLICA PRODUCTIVA</w:t>
            </w:r>
          </w:p>
        </w:tc>
        <w:tc>
          <w:tcPr>
            <w:tcW w:w="1276" w:type="dxa"/>
            <w:tcBorders>
              <w:top w:val="nil"/>
              <w:left w:val="nil"/>
              <w:bottom w:val="single" w:sz="4" w:space="0" w:color="auto"/>
              <w:right w:val="single" w:sz="4" w:space="0" w:color="auto"/>
            </w:tcBorders>
            <w:shd w:val="clear" w:color="auto" w:fill="auto"/>
            <w:hideMark/>
          </w:tcPr>
          <w:p w14:paraId="53EAEBBC" w14:textId="71D52118"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SANTANDER</w:t>
            </w:r>
          </w:p>
        </w:tc>
        <w:tc>
          <w:tcPr>
            <w:tcW w:w="1134" w:type="dxa"/>
            <w:tcBorders>
              <w:top w:val="nil"/>
              <w:left w:val="nil"/>
              <w:bottom w:val="single" w:sz="4" w:space="0" w:color="auto"/>
              <w:right w:val="single" w:sz="4" w:space="0" w:color="auto"/>
            </w:tcBorders>
            <w:shd w:val="clear" w:color="auto" w:fill="auto"/>
            <w:hideMark/>
          </w:tcPr>
          <w:p w14:paraId="76627611" w14:textId="3FB7ADB1"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2,200,000,000</w:t>
            </w:r>
          </w:p>
        </w:tc>
        <w:tc>
          <w:tcPr>
            <w:tcW w:w="1559" w:type="dxa"/>
            <w:tcBorders>
              <w:top w:val="nil"/>
              <w:left w:val="nil"/>
              <w:bottom w:val="single" w:sz="4" w:space="0" w:color="auto"/>
              <w:right w:val="single" w:sz="4" w:space="0" w:color="auto"/>
            </w:tcBorders>
            <w:shd w:val="clear" w:color="auto" w:fill="auto"/>
            <w:hideMark/>
          </w:tcPr>
          <w:p w14:paraId="3A586429" w14:textId="04061D79"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RAMO 28 FONDO GENERAL</w:t>
            </w:r>
          </w:p>
        </w:tc>
        <w:tc>
          <w:tcPr>
            <w:tcW w:w="1417" w:type="dxa"/>
            <w:tcBorders>
              <w:top w:val="nil"/>
              <w:left w:val="nil"/>
              <w:bottom w:val="single" w:sz="4" w:space="0" w:color="auto"/>
              <w:right w:val="single" w:sz="4" w:space="0" w:color="auto"/>
            </w:tcBorders>
            <w:shd w:val="clear" w:color="auto" w:fill="auto"/>
            <w:hideMark/>
          </w:tcPr>
          <w:p w14:paraId="6C0747A4" w14:textId="56728D86"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 xml:space="preserve"> 2,200,000,000 </w:t>
            </w:r>
          </w:p>
        </w:tc>
        <w:tc>
          <w:tcPr>
            <w:tcW w:w="1418" w:type="dxa"/>
            <w:tcBorders>
              <w:top w:val="nil"/>
              <w:left w:val="nil"/>
              <w:bottom w:val="single" w:sz="4" w:space="0" w:color="auto"/>
              <w:right w:val="single" w:sz="4" w:space="0" w:color="auto"/>
            </w:tcBorders>
            <w:shd w:val="clear" w:color="auto" w:fill="auto"/>
            <w:hideMark/>
          </w:tcPr>
          <w:p w14:paraId="6E545B1B" w14:textId="7FAB5D04"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 xml:space="preserve"> 548,538,147 </w:t>
            </w:r>
          </w:p>
        </w:tc>
        <w:tc>
          <w:tcPr>
            <w:tcW w:w="1559" w:type="dxa"/>
            <w:tcBorders>
              <w:top w:val="nil"/>
              <w:left w:val="nil"/>
              <w:bottom w:val="single" w:sz="4" w:space="0" w:color="auto"/>
              <w:right w:val="single" w:sz="4" w:space="0" w:color="auto"/>
            </w:tcBorders>
            <w:shd w:val="clear" w:color="auto" w:fill="auto"/>
            <w:hideMark/>
          </w:tcPr>
          <w:p w14:paraId="353816D1" w14:textId="1A3ABF2D"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24.93%</w:t>
            </w:r>
          </w:p>
        </w:tc>
      </w:tr>
      <w:tr w:rsidR="003D603B" w:rsidRPr="001045B7" w14:paraId="33F95063" w14:textId="77777777" w:rsidTr="002F00D4">
        <w:trPr>
          <w:trHeight w:val="70"/>
        </w:trPr>
        <w:tc>
          <w:tcPr>
            <w:tcW w:w="1240" w:type="dxa"/>
            <w:tcBorders>
              <w:top w:val="nil"/>
              <w:left w:val="single" w:sz="4" w:space="0" w:color="auto"/>
              <w:bottom w:val="single" w:sz="4" w:space="0" w:color="auto"/>
              <w:right w:val="single" w:sz="4" w:space="0" w:color="auto"/>
            </w:tcBorders>
            <w:shd w:val="clear" w:color="auto" w:fill="auto"/>
            <w:hideMark/>
          </w:tcPr>
          <w:p w14:paraId="21ABAF3A" w14:textId="4B95BACA"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Crédito Simple</w:t>
            </w:r>
          </w:p>
        </w:tc>
        <w:tc>
          <w:tcPr>
            <w:tcW w:w="825" w:type="dxa"/>
            <w:tcBorders>
              <w:top w:val="nil"/>
              <w:left w:val="nil"/>
              <w:bottom w:val="single" w:sz="4" w:space="0" w:color="auto"/>
              <w:right w:val="single" w:sz="4" w:space="0" w:color="auto"/>
            </w:tcBorders>
            <w:shd w:val="clear" w:color="auto" w:fill="auto"/>
            <w:hideMark/>
          </w:tcPr>
          <w:p w14:paraId="526DF932" w14:textId="0B4B9196"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47 meses</w:t>
            </w:r>
          </w:p>
        </w:tc>
        <w:tc>
          <w:tcPr>
            <w:tcW w:w="1824" w:type="dxa"/>
            <w:tcBorders>
              <w:top w:val="nil"/>
              <w:left w:val="nil"/>
              <w:bottom w:val="single" w:sz="4" w:space="0" w:color="auto"/>
              <w:right w:val="single" w:sz="4" w:space="0" w:color="auto"/>
            </w:tcBorders>
            <w:shd w:val="clear" w:color="auto" w:fill="auto"/>
            <w:hideMark/>
          </w:tcPr>
          <w:p w14:paraId="5FFDC4AF" w14:textId="0850DF07" w:rsidR="003D603B" w:rsidRPr="001045B7" w:rsidRDefault="003D603B" w:rsidP="003D603B">
            <w:pPr>
              <w:jc w:val="center"/>
              <w:rPr>
                <w:rFonts w:asciiTheme="minorHAnsi" w:hAnsiTheme="minorHAnsi" w:cstheme="minorHAnsi"/>
                <w:color w:val="000000"/>
                <w:sz w:val="17"/>
                <w:szCs w:val="17"/>
              </w:rPr>
            </w:pPr>
            <w:proofErr w:type="spellStart"/>
            <w:r w:rsidRPr="001045B7">
              <w:rPr>
                <w:rFonts w:asciiTheme="minorHAnsi" w:hAnsiTheme="minorHAnsi" w:cstheme="minorHAnsi"/>
                <w:sz w:val="17"/>
                <w:szCs w:val="17"/>
              </w:rPr>
              <w:t>TIIE</w:t>
            </w:r>
            <w:proofErr w:type="spellEnd"/>
            <w:r w:rsidRPr="001045B7">
              <w:rPr>
                <w:rFonts w:asciiTheme="minorHAnsi" w:hAnsiTheme="minorHAnsi" w:cstheme="minorHAnsi"/>
                <w:sz w:val="17"/>
                <w:szCs w:val="17"/>
              </w:rPr>
              <w:t xml:space="preserve"> a 28 días más 18 puntos base</w:t>
            </w:r>
          </w:p>
        </w:tc>
        <w:tc>
          <w:tcPr>
            <w:tcW w:w="1498" w:type="dxa"/>
            <w:tcBorders>
              <w:top w:val="nil"/>
              <w:left w:val="nil"/>
              <w:bottom w:val="single" w:sz="4" w:space="0" w:color="auto"/>
              <w:right w:val="single" w:sz="4" w:space="0" w:color="auto"/>
            </w:tcBorders>
            <w:shd w:val="clear" w:color="auto" w:fill="auto"/>
            <w:hideMark/>
          </w:tcPr>
          <w:p w14:paraId="256F5F64" w14:textId="1532F990"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INVERSIÓN PÚBLICA PRODUCTIVA</w:t>
            </w:r>
          </w:p>
        </w:tc>
        <w:tc>
          <w:tcPr>
            <w:tcW w:w="1276" w:type="dxa"/>
            <w:tcBorders>
              <w:top w:val="nil"/>
              <w:left w:val="nil"/>
              <w:bottom w:val="single" w:sz="4" w:space="0" w:color="auto"/>
              <w:right w:val="single" w:sz="4" w:space="0" w:color="auto"/>
            </w:tcBorders>
            <w:shd w:val="clear" w:color="auto" w:fill="auto"/>
            <w:hideMark/>
          </w:tcPr>
          <w:p w14:paraId="3CAB55CC" w14:textId="1BFA97EF"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BANAMEX</w:t>
            </w:r>
          </w:p>
        </w:tc>
        <w:tc>
          <w:tcPr>
            <w:tcW w:w="1134" w:type="dxa"/>
            <w:tcBorders>
              <w:top w:val="nil"/>
              <w:left w:val="nil"/>
              <w:bottom w:val="single" w:sz="4" w:space="0" w:color="auto"/>
              <w:right w:val="single" w:sz="4" w:space="0" w:color="auto"/>
            </w:tcBorders>
            <w:shd w:val="clear" w:color="auto" w:fill="auto"/>
            <w:hideMark/>
          </w:tcPr>
          <w:p w14:paraId="14073E1E" w14:textId="55DBACFB"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1,100,000,000</w:t>
            </w:r>
          </w:p>
        </w:tc>
        <w:tc>
          <w:tcPr>
            <w:tcW w:w="1559" w:type="dxa"/>
            <w:tcBorders>
              <w:top w:val="nil"/>
              <w:left w:val="nil"/>
              <w:bottom w:val="single" w:sz="4" w:space="0" w:color="auto"/>
              <w:right w:val="single" w:sz="4" w:space="0" w:color="auto"/>
            </w:tcBorders>
            <w:shd w:val="clear" w:color="auto" w:fill="auto"/>
            <w:hideMark/>
          </w:tcPr>
          <w:p w14:paraId="74E6B18E" w14:textId="69C74DB5"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RAMO 28 FONDO GENERAL</w:t>
            </w:r>
          </w:p>
        </w:tc>
        <w:tc>
          <w:tcPr>
            <w:tcW w:w="1417" w:type="dxa"/>
            <w:tcBorders>
              <w:top w:val="nil"/>
              <w:left w:val="nil"/>
              <w:bottom w:val="single" w:sz="4" w:space="0" w:color="auto"/>
              <w:right w:val="single" w:sz="4" w:space="0" w:color="auto"/>
            </w:tcBorders>
            <w:shd w:val="clear" w:color="auto" w:fill="auto"/>
            <w:hideMark/>
          </w:tcPr>
          <w:p w14:paraId="51367851" w14:textId="0CEAB7C6"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 xml:space="preserve"> 1,100,000,000 </w:t>
            </w:r>
          </w:p>
        </w:tc>
        <w:tc>
          <w:tcPr>
            <w:tcW w:w="1418" w:type="dxa"/>
            <w:tcBorders>
              <w:top w:val="nil"/>
              <w:left w:val="nil"/>
              <w:bottom w:val="single" w:sz="4" w:space="0" w:color="auto"/>
              <w:right w:val="single" w:sz="4" w:space="0" w:color="auto"/>
            </w:tcBorders>
            <w:shd w:val="clear" w:color="auto" w:fill="auto"/>
            <w:hideMark/>
          </w:tcPr>
          <w:p w14:paraId="31B28C46" w14:textId="388FAA02"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 xml:space="preserve"> 239,093,000 </w:t>
            </w:r>
          </w:p>
        </w:tc>
        <w:tc>
          <w:tcPr>
            <w:tcW w:w="1559" w:type="dxa"/>
            <w:tcBorders>
              <w:top w:val="nil"/>
              <w:left w:val="nil"/>
              <w:bottom w:val="single" w:sz="4" w:space="0" w:color="auto"/>
              <w:right w:val="single" w:sz="4" w:space="0" w:color="auto"/>
            </w:tcBorders>
            <w:shd w:val="clear" w:color="auto" w:fill="auto"/>
            <w:hideMark/>
          </w:tcPr>
          <w:p w14:paraId="29BC32E5" w14:textId="305AA5AE" w:rsidR="003D603B" w:rsidRPr="001045B7" w:rsidRDefault="003D603B" w:rsidP="003D603B">
            <w:pPr>
              <w:jc w:val="center"/>
              <w:rPr>
                <w:rFonts w:asciiTheme="minorHAnsi" w:hAnsiTheme="minorHAnsi" w:cstheme="minorHAnsi"/>
                <w:color w:val="000000"/>
                <w:sz w:val="17"/>
                <w:szCs w:val="17"/>
              </w:rPr>
            </w:pPr>
            <w:r w:rsidRPr="001045B7">
              <w:rPr>
                <w:rFonts w:asciiTheme="minorHAnsi" w:hAnsiTheme="minorHAnsi" w:cstheme="minorHAnsi"/>
                <w:sz w:val="17"/>
                <w:szCs w:val="17"/>
              </w:rPr>
              <w:t>21.74%</w:t>
            </w:r>
          </w:p>
        </w:tc>
      </w:tr>
    </w:tbl>
    <w:p w14:paraId="6F459A14" w14:textId="77777777" w:rsidR="002009D5" w:rsidRPr="001045B7" w:rsidRDefault="002009D5" w:rsidP="00F52BD4">
      <w:pPr>
        <w:spacing w:line="276" w:lineRule="auto"/>
        <w:rPr>
          <w:rFonts w:asciiTheme="minorHAnsi" w:hAnsiTheme="minorHAnsi" w:cstheme="minorHAnsi"/>
          <w:sz w:val="17"/>
          <w:szCs w:val="17"/>
        </w:rPr>
      </w:pPr>
    </w:p>
    <w:p w14:paraId="0783935F" w14:textId="1B919299" w:rsidR="00131BDF" w:rsidRPr="001045B7" w:rsidRDefault="002A7B90" w:rsidP="002D40C5">
      <w:pPr>
        <w:pStyle w:val="Prrafodelista"/>
        <w:numPr>
          <w:ilvl w:val="0"/>
          <w:numId w:val="38"/>
        </w:numPr>
        <w:spacing w:line="276" w:lineRule="auto"/>
        <w:rPr>
          <w:rFonts w:asciiTheme="minorHAnsi" w:hAnsiTheme="minorHAnsi" w:cstheme="minorHAnsi"/>
          <w:sz w:val="17"/>
          <w:szCs w:val="17"/>
        </w:rPr>
      </w:pPr>
      <w:r w:rsidRPr="001045B7">
        <w:rPr>
          <w:rFonts w:asciiTheme="minorHAnsi" w:hAnsiTheme="minorHAnsi" w:cstheme="minorHAnsi"/>
          <w:sz w:val="17"/>
          <w:szCs w:val="17"/>
        </w:rPr>
        <w:t>La reducción del saldo de su deuda pública bruta total con motivo de cada una de las amortizaciones a que se refiere este artículo, con relación al registrado al 31 de diciembre del ejercicio fiscal anterior.</w:t>
      </w:r>
      <w:r w:rsidR="00447FE0" w:rsidRPr="001045B7">
        <w:rPr>
          <w:rFonts w:asciiTheme="minorHAnsi" w:hAnsiTheme="minorHAnsi" w:cstheme="minorHAnsi"/>
          <w:sz w:val="17"/>
          <w:szCs w:val="17"/>
        </w:rPr>
        <w:tab/>
      </w:r>
      <w:r w:rsidR="00447FE0" w:rsidRPr="001045B7">
        <w:rPr>
          <w:rFonts w:asciiTheme="minorHAnsi" w:hAnsiTheme="minorHAnsi" w:cstheme="minorHAnsi"/>
          <w:sz w:val="17"/>
          <w:szCs w:val="17"/>
        </w:rPr>
        <w:tab/>
      </w:r>
    </w:p>
    <w:tbl>
      <w:tblPr>
        <w:tblW w:w="6658" w:type="dxa"/>
        <w:jc w:val="center"/>
        <w:tblCellMar>
          <w:left w:w="70" w:type="dxa"/>
          <w:right w:w="70" w:type="dxa"/>
        </w:tblCellMar>
        <w:tblLook w:val="04A0" w:firstRow="1" w:lastRow="0" w:firstColumn="1" w:lastColumn="0" w:noHBand="0" w:noVBand="1"/>
      </w:tblPr>
      <w:tblGrid>
        <w:gridCol w:w="5098"/>
        <w:gridCol w:w="1560"/>
      </w:tblGrid>
      <w:tr w:rsidR="002A7B90" w:rsidRPr="001045B7" w14:paraId="71575E44" w14:textId="77777777" w:rsidTr="00FE1780">
        <w:trPr>
          <w:trHeight w:val="70"/>
          <w:jc w:val="center"/>
        </w:trPr>
        <w:tc>
          <w:tcPr>
            <w:tcW w:w="509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67BF5F"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 </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14:paraId="772569C3" w14:textId="77777777" w:rsidR="002A7B90" w:rsidRPr="001045B7" w:rsidRDefault="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Importe</w:t>
            </w:r>
          </w:p>
        </w:tc>
      </w:tr>
      <w:tr w:rsidR="00FD5698" w:rsidRPr="001045B7" w14:paraId="3BE04E13" w14:textId="77777777" w:rsidTr="00DD589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C83D6E"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al 31 de diciembre del 2023</w:t>
            </w:r>
          </w:p>
        </w:tc>
        <w:tc>
          <w:tcPr>
            <w:tcW w:w="1560" w:type="dxa"/>
            <w:tcBorders>
              <w:top w:val="single" w:sz="4" w:space="0" w:color="auto"/>
              <w:left w:val="nil"/>
              <w:bottom w:val="single" w:sz="4" w:space="0" w:color="auto"/>
              <w:right w:val="single" w:sz="4" w:space="0" w:color="000000"/>
            </w:tcBorders>
            <w:shd w:val="clear" w:color="auto" w:fill="auto"/>
            <w:hideMark/>
          </w:tcPr>
          <w:p w14:paraId="7FE97FFF" w14:textId="51740BDB"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1,537,246,577</w:t>
            </w:r>
          </w:p>
        </w:tc>
      </w:tr>
      <w:tr w:rsidR="00FD5698" w:rsidRPr="001045B7" w14:paraId="3EB398BF" w14:textId="77777777" w:rsidTr="00DD5899">
        <w:trPr>
          <w:trHeight w:val="141"/>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20133C"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1</w:t>
            </w:r>
          </w:p>
        </w:tc>
        <w:tc>
          <w:tcPr>
            <w:tcW w:w="1560" w:type="dxa"/>
            <w:tcBorders>
              <w:top w:val="single" w:sz="4" w:space="0" w:color="auto"/>
              <w:left w:val="nil"/>
              <w:bottom w:val="single" w:sz="4" w:space="0" w:color="auto"/>
              <w:right w:val="single" w:sz="4" w:space="0" w:color="000000"/>
            </w:tcBorders>
            <w:shd w:val="clear" w:color="auto" w:fill="auto"/>
            <w:hideMark/>
          </w:tcPr>
          <w:p w14:paraId="148EA098" w14:textId="1A281C02"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34,937,422</w:t>
            </w:r>
          </w:p>
        </w:tc>
      </w:tr>
      <w:tr w:rsidR="00FD5698" w:rsidRPr="001045B7" w14:paraId="63802BCE" w14:textId="77777777" w:rsidTr="00DD5899">
        <w:trPr>
          <w:trHeight w:val="126"/>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F7B3B4"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1</w:t>
            </w:r>
          </w:p>
        </w:tc>
        <w:tc>
          <w:tcPr>
            <w:tcW w:w="1560" w:type="dxa"/>
            <w:tcBorders>
              <w:top w:val="single" w:sz="4" w:space="0" w:color="auto"/>
              <w:left w:val="nil"/>
              <w:bottom w:val="single" w:sz="4" w:space="0" w:color="auto"/>
              <w:right w:val="single" w:sz="4" w:space="0" w:color="000000"/>
            </w:tcBorders>
            <w:shd w:val="clear" w:color="auto" w:fill="auto"/>
            <w:hideMark/>
          </w:tcPr>
          <w:p w14:paraId="5BB5AB79" w14:textId="6BA362C3"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1,502,309,155</w:t>
            </w:r>
          </w:p>
        </w:tc>
      </w:tr>
      <w:tr w:rsidR="00FD5698" w:rsidRPr="001045B7" w14:paraId="6F6C3F9C" w14:textId="77777777" w:rsidTr="00DD5899">
        <w:trPr>
          <w:trHeight w:val="182"/>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1D586D"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2</w:t>
            </w:r>
          </w:p>
        </w:tc>
        <w:tc>
          <w:tcPr>
            <w:tcW w:w="1560" w:type="dxa"/>
            <w:tcBorders>
              <w:top w:val="single" w:sz="4" w:space="0" w:color="auto"/>
              <w:left w:val="nil"/>
              <w:bottom w:val="single" w:sz="4" w:space="0" w:color="auto"/>
              <w:right w:val="single" w:sz="4" w:space="0" w:color="000000"/>
            </w:tcBorders>
            <w:shd w:val="clear" w:color="auto" w:fill="auto"/>
            <w:hideMark/>
          </w:tcPr>
          <w:p w14:paraId="4BD6183A" w14:textId="7A780D0A"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46,937,751</w:t>
            </w:r>
          </w:p>
        </w:tc>
      </w:tr>
      <w:tr w:rsidR="00FD5698" w:rsidRPr="001045B7" w14:paraId="188388F9" w14:textId="77777777" w:rsidTr="00DD589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D13C02"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2</w:t>
            </w:r>
          </w:p>
        </w:tc>
        <w:tc>
          <w:tcPr>
            <w:tcW w:w="1560" w:type="dxa"/>
            <w:tcBorders>
              <w:top w:val="single" w:sz="4" w:space="0" w:color="auto"/>
              <w:left w:val="nil"/>
              <w:bottom w:val="single" w:sz="4" w:space="0" w:color="auto"/>
              <w:right w:val="single" w:sz="4" w:space="0" w:color="000000"/>
            </w:tcBorders>
            <w:shd w:val="clear" w:color="auto" w:fill="auto"/>
            <w:hideMark/>
          </w:tcPr>
          <w:p w14:paraId="43F7E7C7" w14:textId="11041410"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1,971,385,563</w:t>
            </w:r>
          </w:p>
        </w:tc>
      </w:tr>
      <w:tr w:rsidR="00FD5698" w:rsidRPr="001045B7" w14:paraId="588088F1" w14:textId="77777777" w:rsidTr="00DD589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2A7D78"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3</w:t>
            </w:r>
          </w:p>
        </w:tc>
        <w:tc>
          <w:tcPr>
            <w:tcW w:w="1560" w:type="dxa"/>
            <w:tcBorders>
              <w:top w:val="single" w:sz="4" w:space="0" w:color="auto"/>
              <w:left w:val="nil"/>
              <w:bottom w:val="single" w:sz="4" w:space="0" w:color="auto"/>
              <w:right w:val="single" w:sz="4" w:space="0" w:color="000000"/>
            </w:tcBorders>
            <w:shd w:val="clear" w:color="auto" w:fill="auto"/>
            <w:hideMark/>
          </w:tcPr>
          <w:p w14:paraId="3E1C233C" w14:textId="7B976B24"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50,985,369</w:t>
            </w:r>
          </w:p>
        </w:tc>
      </w:tr>
      <w:tr w:rsidR="00FD5698" w:rsidRPr="001045B7" w14:paraId="39D08D60" w14:textId="77777777" w:rsidTr="00DD589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125EB7"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3</w:t>
            </w:r>
          </w:p>
        </w:tc>
        <w:tc>
          <w:tcPr>
            <w:tcW w:w="1560" w:type="dxa"/>
            <w:tcBorders>
              <w:top w:val="single" w:sz="4" w:space="0" w:color="auto"/>
              <w:left w:val="nil"/>
              <w:bottom w:val="single" w:sz="4" w:space="0" w:color="auto"/>
              <w:right w:val="single" w:sz="4" w:space="0" w:color="000000"/>
            </w:tcBorders>
            <w:shd w:val="clear" w:color="auto" w:fill="auto"/>
            <w:hideMark/>
          </w:tcPr>
          <w:p w14:paraId="19C8722B" w14:textId="5521EA6A"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2,090,400,194</w:t>
            </w:r>
          </w:p>
        </w:tc>
      </w:tr>
      <w:tr w:rsidR="00FD5698" w:rsidRPr="001045B7" w14:paraId="5F5D8BD7"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029AEBEC" w14:textId="518ACCFB"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lastRenderedPageBreak/>
              <w:t>(-)Amortización 4</w:t>
            </w:r>
          </w:p>
        </w:tc>
        <w:tc>
          <w:tcPr>
            <w:tcW w:w="1560" w:type="dxa"/>
            <w:tcBorders>
              <w:top w:val="single" w:sz="4" w:space="0" w:color="auto"/>
              <w:left w:val="nil"/>
              <w:bottom w:val="single" w:sz="4" w:space="0" w:color="auto"/>
              <w:right w:val="single" w:sz="4" w:space="0" w:color="000000"/>
            </w:tcBorders>
            <w:shd w:val="clear" w:color="auto" w:fill="auto"/>
          </w:tcPr>
          <w:p w14:paraId="0C597802" w14:textId="340DFD61"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55,506,552</w:t>
            </w:r>
          </w:p>
        </w:tc>
      </w:tr>
      <w:tr w:rsidR="00FD5698" w:rsidRPr="001045B7" w14:paraId="0DFAED16"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0B0A71E1" w14:textId="54E6A65A"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4</w:t>
            </w:r>
          </w:p>
        </w:tc>
        <w:tc>
          <w:tcPr>
            <w:tcW w:w="1560" w:type="dxa"/>
            <w:tcBorders>
              <w:top w:val="single" w:sz="4" w:space="0" w:color="auto"/>
              <w:left w:val="nil"/>
              <w:bottom w:val="single" w:sz="4" w:space="0" w:color="auto"/>
              <w:right w:val="single" w:sz="4" w:space="0" w:color="000000"/>
            </w:tcBorders>
            <w:shd w:val="clear" w:color="auto" w:fill="auto"/>
          </w:tcPr>
          <w:p w14:paraId="2ABF7512" w14:textId="78294793"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2,270,262,142</w:t>
            </w:r>
          </w:p>
        </w:tc>
      </w:tr>
      <w:tr w:rsidR="00FD5698" w:rsidRPr="001045B7" w14:paraId="5609DA60"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48B0F585" w14:textId="2F88BD7D"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5</w:t>
            </w:r>
          </w:p>
        </w:tc>
        <w:tc>
          <w:tcPr>
            <w:tcW w:w="1560" w:type="dxa"/>
            <w:tcBorders>
              <w:top w:val="single" w:sz="4" w:space="0" w:color="auto"/>
              <w:left w:val="nil"/>
              <w:bottom w:val="single" w:sz="4" w:space="0" w:color="auto"/>
              <w:right w:val="single" w:sz="4" w:space="0" w:color="000000"/>
            </w:tcBorders>
            <w:shd w:val="clear" w:color="auto" w:fill="auto"/>
          </w:tcPr>
          <w:p w14:paraId="47C7C628" w14:textId="7567CE4B"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62,081,552</w:t>
            </w:r>
          </w:p>
        </w:tc>
      </w:tr>
      <w:tr w:rsidR="00FD5698" w:rsidRPr="001045B7" w14:paraId="3193D825"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21FB60DE" w14:textId="2BDA2261"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5</w:t>
            </w:r>
          </w:p>
        </w:tc>
        <w:tc>
          <w:tcPr>
            <w:tcW w:w="1560" w:type="dxa"/>
            <w:tcBorders>
              <w:top w:val="single" w:sz="4" w:space="0" w:color="auto"/>
              <w:left w:val="nil"/>
              <w:bottom w:val="single" w:sz="4" w:space="0" w:color="auto"/>
              <w:right w:val="single" w:sz="4" w:space="0" w:color="000000"/>
            </w:tcBorders>
            <w:shd w:val="clear" w:color="auto" w:fill="auto"/>
          </w:tcPr>
          <w:p w14:paraId="43BFD67A" w14:textId="0DFBA6D6"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2,548,180,591</w:t>
            </w:r>
          </w:p>
        </w:tc>
      </w:tr>
      <w:tr w:rsidR="00FD5698" w:rsidRPr="001045B7" w14:paraId="308C4DA0"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257D2956" w14:textId="6A659F0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6</w:t>
            </w:r>
          </w:p>
        </w:tc>
        <w:tc>
          <w:tcPr>
            <w:tcW w:w="1560" w:type="dxa"/>
            <w:tcBorders>
              <w:top w:val="single" w:sz="4" w:space="0" w:color="auto"/>
              <w:left w:val="nil"/>
              <w:bottom w:val="single" w:sz="4" w:space="0" w:color="auto"/>
              <w:right w:val="single" w:sz="4" w:space="0" w:color="000000"/>
            </w:tcBorders>
            <w:shd w:val="clear" w:color="auto" w:fill="auto"/>
          </w:tcPr>
          <w:p w14:paraId="4DA791AC" w14:textId="40971C0A"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230FD258"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35785ED7" w14:textId="5792CDCC"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6</w:t>
            </w:r>
          </w:p>
        </w:tc>
        <w:tc>
          <w:tcPr>
            <w:tcW w:w="1560" w:type="dxa"/>
            <w:tcBorders>
              <w:top w:val="single" w:sz="4" w:space="0" w:color="auto"/>
              <w:left w:val="nil"/>
              <w:bottom w:val="single" w:sz="4" w:space="0" w:color="auto"/>
              <w:right w:val="single" w:sz="4" w:space="0" w:color="000000"/>
            </w:tcBorders>
            <w:shd w:val="clear" w:color="auto" w:fill="auto"/>
          </w:tcPr>
          <w:p w14:paraId="65DB2463" w14:textId="38893F66"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2,916,133,664</w:t>
            </w:r>
          </w:p>
        </w:tc>
      </w:tr>
      <w:tr w:rsidR="00FD5698" w:rsidRPr="001045B7" w14:paraId="57980F98" w14:textId="77777777" w:rsidTr="001E69F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61EF3E8F" w14:textId="1B9BA6F8"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7</w:t>
            </w:r>
          </w:p>
        </w:tc>
        <w:tc>
          <w:tcPr>
            <w:tcW w:w="1560" w:type="dxa"/>
            <w:tcBorders>
              <w:top w:val="single" w:sz="4" w:space="0" w:color="auto"/>
              <w:left w:val="nil"/>
              <w:bottom w:val="single" w:sz="4" w:space="0" w:color="auto"/>
              <w:right w:val="single" w:sz="4" w:space="0" w:color="000000"/>
            </w:tcBorders>
            <w:shd w:val="clear" w:color="auto" w:fill="auto"/>
          </w:tcPr>
          <w:p w14:paraId="323FE099" w14:textId="5B039360"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25D217B8" w14:textId="77777777" w:rsidTr="001E69F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166328FE" w14:textId="11EC666D"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7</w:t>
            </w:r>
          </w:p>
        </w:tc>
        <w:tc>
          <w:tcPr>
            <w:tcW w:w="1560" w:type="dxa"/>
            <w:tcBorders>
              <w:top w:val="single" w:sz="4" w:space="0" w:color="auto"/>
              <w:left w:val="nil"/>
              <w:bottom w:val="single" w:sz="4" w:space="0" w:color="auto"/>
              <w:right w:val="single" w:sz="4" w:space="0" w:color="000000"/>
            </w:tcBorders>
            <w:shd w:val="clear" w:color="auto" w:fill="auto"/>
          </w:tcPr>
          <w:p w14:paraId="75284AFF" w14:textId="4838B366"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2,839,393,307</w:t>
            </w:r>
          </w:p>
        </w:tc>
      </w:tr>
      <w:tr w:rsidR="00FD5698" w:rsidRPr="001045B7" w14:paraId="6FA1F838" w14:textId="77777777" w:rsidTr="001E69F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34B3B2BD" w14:textId="76447882"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8</w:t>
            </w:r>
          </w:p>
        </w:tc>
        <w:tc>
          <w:tcPr>
            <w:tcW w:w="1560" w:type="dxa"/>
            <w:tcBorders>
              <w:top w:val="single" w:sz="4" w:space="0" w:color="auto"/>
              <w:left w:val="nil"/>
              <w:bottom w:val="single" w:sz="4" w:space="0" w:color="auto"/>
              <w:right w:val="single" w:sz="4" w:space="0" w:color="000000"/>
            </w:tcBorders>
            <w:shd w:val="clear" w:color="auto" w:fill="auto"/>
          </w:tcPr>
          <w:p w14:paraId="6CDCD9F2" w14:textId="3ED72B19"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15C4A09B" w14:textId="77777777" w:rsidTr="001E69F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35618BFA" w14:textId="59EC788A"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8</w:t>
            </w:r>
          </w:p>
        </w:tc>
        <w:tc>
          <w:tcPr>
            <w:tcW w:w="1560" w:type="dxa"/>
            <w:tcBorders>
              <w:top w:val="single" w:sz="4" w:space="0" w:color="auto"/>
              <w:left w:val="nil"/>
              <w:bottom w:val="single" w:sz="4" w:space="0" w:color="auto"/>
              <w:right w:val="single" w:sz="4" w:space="0" w:color="000000"/>
            </w:tcBorders>
            <w:shd w:val="clear" w:color="auto" w:fill="auto"/>
          </w:tcPr>
          <w:p w14:paraId="7A43CAB6" w14:textId="2B972001"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2,762,652,949</w:t>
            </w:r>
          </w:p>
        </w:tc>
      </w:tr>
      <w:tr w:rsidR="00FD5698" w:rsidRPr="001045B7" w14:paraId="536EAABD"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22511301" w14:textId="777777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9</w:t>
            </w:r>
          </w:p>
        </w:tc>
        <w:tc>
          <w:tcPr>
            <w:tcW w:w="1560" w:type="dxa"/>
            <w:tcBorders>
              <w:top w:val="single" w:sz="4" w:space="0" w:color="auto"/>
              <w:left w:val="nil"/>
              <w:bottom w:val="single" w:sz="4" w:space="0" w:color="auto"/>
              <w:right w:val="single" w:sz="4" w:space="0" w:color="000000"/>
            </w:tcBorders>
            <w:shd w:val="clear" w:color="auto" w:fill="auto"/>
          </w:tcPr>
          <w:p w14:paraId="1B52D2D3" w14:textId="08AB615A"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1FA427C9"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5798F671" w14:textId="142BAD36"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9</w:t>
            </w:r>
          </w:p>
        </w:tc>
        <w:tc>
          <w:tcPr>
            <w:tcW w:w="1560" w:type="dxa"/>
            <w:tcBorders>
              <w:top w:val="single" w:sz="4" w:space="0" w:color="auto"/>
              <w:left w:val="nil"/>
              <w:bottom w:val="single" w:sz="4" w:space="0" w:color="auto"/>
              <w:right w:val="single" w:sz="4" w:space="0" w:color="000000"/>
            </w:tcBorders>
            <w:shd w:val="clear" w:color="auto" w:fill="auto"/>
          </w:tcPr>
          <w:p w14:paraId="22332877" w14:textId="0AAC651E"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2,685,912,592</w:t>
            </w:r>
          </w:p>
        </w:tc>
      </w:tr>
      <w:tr w:rsidR="00FD5698" w:rsidRPr="001045B7" w14:paraId="5A6E75A9"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77971997" w14:textId="241406B3"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10</w:t>
            </w:r>
          </w:p>
        </w:tc>
        <w:tc>
          <w:tcPr>
            <w:tcW w:w="1560" w:type="dxa"/>
            <w:tcBorders>
              <w:top w:val="single" w:sz="4" w:space="0" w:color="auto"/>
              <w:left w:val="nil"/>
              <w:bottom w:val="single" w:sz="4" w:space="0" w:color="auto"/>
              <w:right w:val="single" w:sz="4" w:space="0" w:color="000000"/>
            </w:tcBorders>
            <w:shd w:val="clear" w:color="auto" w:fill="auto"/>
          </w:tcPr>
          <w:p w14:paraId="7ABDB24F" w14:textId="00DDC99C"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00FEA397"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5AA4C310" w14:textId="15886CF9"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10</w:t>
            </w:r>
          </w:p>
        </w:tc>
        <w:tc>
          <w:tcPr>
            <w:tcW w:w="1560" w:type="dxa"/>
            <w:tcBorders>
              <w:top w:val="single" w:sz="4" w:space="0" w:color="auto"/>
              <w:left w:val="nil"/>
              <w:bottom w:val="single" w:sz="4" w:space="0" w:color="auto"/>
              <w:right w:val="single" w:sz="4" w:space="0" w:color="000000"/>
            </w:tcBorders>
            <w:shd w:val="clear" w:color="auto" w:fill="auto"/>
          </w:tcPr>
          <w:p w14:paraId="7DDC2183" w14:textId="36D85F85"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2,609,172,234</w:t>
            </w:r>
          </w:p>
        </w:tc>
      </w:tr>
      <w:tr w:rsidR="00FD5698" w:rsidRPr="001045B7" w14:paraId="6DE06FE5"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43D69B37" w14:textId="39754E77"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11</w:t>
            </w:r>
          </w:p>
        </w:tc>
        <w:tc>
          <w:tcPr>
            <w:tcW w:w="1560" w:type="dxa"/>
            <w:tcBorders>
              <w:top w:val="single" w:sz="4" w:space="0" w:color="auto"/>
              <w:left w:val="nil"/>
              <w:bottom w:val="single" w:sz="4" w:space="0" w:color="auto"/>
              <w:right w:val="single" w:sz="4" w:space="0" w:color="000000"/>
            </w:tcBorders>
            <w:shd w:val="clear" w:color="auto" w:fill="auto"/>
          </w:tcPr>
          <w:p w14:paraId="1B0D7223" w14:textId="0021ACB2"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6F6195C1" w14:textId="77777777" w:rsidTr="00264D59">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56319375" w14:textId="00B040A4"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11</w:t>
            </w:r>
          </w:p>
        </w:tc>
        <w:tc>
          <w:tcPr>
            <w:tcW w:w="1560" w:type="dxa"/>
            <w:tcBorders>
              <w:top w:val="single" w:sz="4" w:space="0" w:color="auto"/>
              <w:left w:val="nil"/>
              <w:bottom w:val="single" w:sz="4" w:space="0" w:color="auto"/>
              <w:right w:val="single" w:sz="4" w:space="0" w:color="000000"/>
            </w:tcBorders>
            <w:shd w:val="clear" w:color="auto" w:fill="auto"/>
          </w:tcPr>
          <w:p w14:paraId="46F2E5AA" w14:textId="180F8528"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2,532,431,877</w:t>
            </w:r>
          </w:p>
        </w:tc>
      </w:tr>
      <w:tr w:rsidR="00FD5698" w:rsidRPr="001045B7" w14:paraId="057328C0" w14:textId="77777777" w:rsidTr="001E69F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554F2507" w14:textId="45945C82"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 12</w:t>
            </w:r>
          </w:p>
        </w:tc>
        <w:tc>
          <w:tcPr>
            <w:tcW w:w="1560" w:type="dxa"/>
            <w:tcBorders>
              <w:top w:val="single" w:sz="4" w:space="0" w:color="auto"/>
              <w:left w:val="nil"/>
              <w:bottom w:val="single" w:sz="4" w:space="0" w:color="auto"/>
              <w:right w:val="single" w:sz="4" w:space="0" w:color="000000"/>
            </w:tcBorders>
            <w:shd w:val="clear" w:color="auto" w:fill="auto"/>
          </w:tcPr>
          <w:p w14:paraId="584C62B2" w14:textId="4B483989"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76,740,358</w:t>
            </w:r>
          </w:p>
        </w:tc>
      </w:tr>
      <w:tr w:rsidR="00FD5698" w:rsidRPr="001045B7" w14:paraId="415FDD3B" w14:textId="77777777" w:rsidTr="00DF6167">
        <w:trPr>
          <w:trHeight w:val="70"/>
          <w:jc w:val="center"/>
        </w:trPr>
        <w:tc>
          <w:tcPr>
            <w:tcW w:w="5098" w:type="dxa"/>
            <w:tcBorders>
              <w:top w:val="single" w:sz="4" w:space="0" w:color="auto"/>
              <w:left w:val="single" w:sz="4" w:space="0" w:color="auto"/>
              <w:bottom w:val="single" w:sz="4" w:space="0" w:color="auto"/>
              <w:right w:val="single" w:sz="4" w:space="0" w:color="000000"/>
            </w:tcBorders>
            <w:shd w:val="clear" w:color="auto" w:fill="auto"/>
          </w:tcPr>
          <w:p w14:paraId="055542F8" w14:textId="1321B395" w:rsidR="00FD5698" w:rsidRPr="001045B7" w:rsidRDefault="00FD5698" w:rsidP="00FD5698">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Deuda Pública Bruta Total descontando la amortización 12</w:t>
            </w:r>
          </w:p>
        </w:tc>
        <w:tc>
          <w:tcPr>
            <w:tcW w:w="1560" w:type="dxa"/>
            <w:tcBorders>
              <w:top w:val="single" w:sz="4" w:space="0" w:color="auto"/>
              <w:left w:val="nil"/>
              <w:bottom w:val="single" w:sz="4" w:space="0" w:color="auto"/>
              <w:right w:val="single" w:sz="4" w:space="0" w:color="000000"/>
            </w:tcBorders>
            <w:shd w:val="clear" w:color="auto" w:fill="auto"/>
          </w:tcPr>
          <w:p w14:paraId="32F6CE94" w14:textId="61E6D426" w:rsidR="00FD5698" w:rsidRPr="001045B7" w:rsidRDefault="00FD5698" w:rsidP="00FD5698">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2,455,691,519</w:t>
            </w:r>
          </w:p>
        </w:tc>
      </w:tr>
    </w:tbl>
    <w:p w14:paraId="7F0041A5" w14:textId="77777777" w:rsidR="00FB6501" w:rsidRPr="001045B7" w:rsidRDefault="00FB6501" w:rsidP="002009D5">
      <w:pPr>
        <w:spacing w:line="276" w:lineRule="auto"/>
        <w:rPr>
          <w:rFonts w:asciiTheme="minorHAnsi" w:hAnsiTheme="minorHAnsi" w:cstheme="minorHAnsi"/>
          <w:sz w:val="17"/>
          <w:szCs w:val="17"/>
        </w:rPr>
      </w:pPr>
    </w:p>
    <w:p w14:paraId="7D871BEE" w14:textId="79D1C1AF" w:rsidR="002517AF" w:rsidRPr="001045B7" w:rsidRDefault="002009D5" w:rsidP="002009D5">
      <w:pPr>
        <w:spacing w:line="276" w:lineRule="auto"/>
        <w:rPr>
          <w:rFonts w:asciiTheme="minorHAnsi" w:hAnsiTheme="minorHAnsi" w:cstheme="minorHAnsi"/>
          <w:sz w:val="17"/>
          <w:szCs w:val="17"/>
        </w:rPr>
      </w:pPr>
      <w:r w:rsidRPr="001045B7">
        <w:rPr>
          <w:rFonts w:asciiTheme="minorHAnsi" w:hAnsiTheme="minorHAnsi" w:cstheme="minorHAnsi"/>
          <w:sz w:val="17"/>
          <w:szCs w:val="17"/>
        </w:rPr>
        <w:t>Nota: Para calcular la "Deuda Pública Bruta Total descontando la amortización correspondiente" se consideraron únicamente las amortizaciones de cada mes. Las últimas disposiciones de los financiamientos fueron en el mes de junio de 2024.</w:t>
      </w:r>
    </w:p>
    <w:p w14:paraId="7D794BF5" w14:textId="27B18343" w:rsidR="002009D5" w:rsidRPr="001045B7" w:rsidRDefault="002009D5" w:rsidP="002009D5">
      <w:pPr>
        <w:spacing w:line="276" w:lineRule="auto"/>
        <w:rPr>
          <w:rFonts w:asciiTheme="minorHAnsi" w:hAnsiTheme="minorHAnsi" w:cstheme="minorHAnsi"/>
          <w:sz w:val="17"/>
          <w:szCs w:val="17"/>
        </w:rPr>
      </w:pPr>
    </w:p>
    <w:p w14:paraId="52E48878" w14:textId="581A519C" w:rsidR="00D23723" w:rsidRPr="001045B7" w:rsidRDefault="002A7B90" w:rsidP="00D23723">
      <w:pPr>
        <w:pStyle w:val="Prrafodelista"/>
        <w:numPr>
          <w:ilvl w:val="0"/>
          <w:numId w:val="38"/>
        </w:numPr>
        <w:spacing w:line="276" w:lineRule="auto"/>
        <w:rPr>
          <w:rFonts w:asciiTheme="minorHAnsi" w:hAnsiTheme="minorHAnsi" w:cstheme="minorHAnsi"/>
          <w:sz w:val="17"/>
          <w:szCs w:val="17"/>
        </w:rPr>
      </w:pPr>
      <w:r w:rsidRPr="001045B7">
        <w:rPr>
          <w:rFonts w:asciiTheme="minorHAnsi" w:hAnsiTheme="minorHAnsi" w:cstheme="minorHAnsi"/>
          <w:sz w:val="17"/>
          <w:szCs w:val="17"/>
        </w:rPr>
        <w:t>Un comparativo de la relación deuda pública bruta total a producto interno bruto del estado entre el 31 de diciembre del ejercicio fiscal anterior y la fecha de la amortización.</w:t>
      </w:r>
    </w:p>
    <w:p w14:paraId="04B9BC32" w14:textId="77777777" w:rsidR="002009D5" w:rsidRPr="001045B7" w:rsidRDefault="002009D5" w:rsidP="002009D5">
      <w:pPr>
        <w:pStyle w:val="Prrafodelista"/>
        <w:spacing w:line="276" w:lineRule="auto"/>
        <w:rPr>
          <w:rFonts w:asciiTheme="minorHAnsi" w:hAnsiTheme="minorHAnsi" w:cstheme="minorHAnsi"/>
          <w:sz w:val="17"/>
          <w:szCs w:val="17"/>
        </w:rPr>
      </w:pPr>
    </w:p>
    <w:p w14:paraId="3A0D06B5" w14:textId="1F3FCBE7" w:rsidR="00447FE0" w:rsidRPr="001045B7" w:rsidRDefault="00447FE0" w:rsidP="001174F8">
      <w:pPr>
        <w:pStyle w:val="Prrafodelista"/>
        <w:spacing w:line="276" w:lineRule="auto"/>
        <w:rPr>
          <w:rFonts w:asciiTheme="minorHAnsi" w:hAnsiTheme="minorHAnsi" w:cstheme="minorHAnsi"/>
          <w:sz w:val="17"/>
          <w:szCs w:val="17"/>
        </w:rPr>
      </w:pP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p>
    <w:tbl>
      <w:tblPr>
        <w:tblW w:w="8081" w:type="dxa"/>
        <w:jc w:val="center"/>
        <w:tblCellMar>
          <w:left w:w="70" w:type="dxa"/>
          <w:right w:w="70" w:type="dxa"/>
        </w:tblCellMar>
        <w:tblLook w:val="04A0" w:firstRow="1" w:lastRow="0" w:firstColumn="1" w:lastColumn="0" w:noHBand="0" w:noVBand="1"/>
      </w:tblPr>
      <w:tblGrid>
        <w:gridCol w:w="2847"/>
        <w:gridCol w:w="2240"/>
        <w:gridCol w:w="2994"/>
      </w:tblGrid>
      <w:tr w:rsidR="00131BDF" w:rsidRPr="001045B7" w14:paraId="73C96E64" w14:textId="77777777" w:rsidTr="00131BDF">
        <w:trPr>
          <w:trHeight w:val="268"/>
          <w:jc w:val="center"/>
        </w:trPr>
        <w:tc>
          <w:tcPr>
            <w:tcW w:w="2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A9506" w14:textId="313A96A2" w:rsidR="00131BDF" w:rsidRPr="001045B7" w:rsidRDefault="00131BDF" w:rsidP="00131BDF">
            <w:pPr>
              <w:jc w:val="center"/>
              <w:rPr>
                <w:rFonts w:asciiTheme="minorHAnsi" w:hAnsiTheme="minorHAnsi" w:cstheme="minorHAnsi"/>
                <w:b/>
                <w:bCs/>
                <w:sz w:val="17"/>
                <w:szCs w:val="17"/>
              </w:rPr>
            </w:pPr>
            <w:r w:rsidRPr="001045B7">
              <w:rPr>
                <w:rFonts w:asciiTheme="minorHAnsi" w:hAnsiTheme="minorHAnsi" w:cstheme="minorHAnsi"/>
                <w:b/>
                <w:bCs/>
                <w:sz w:val="17"/>
                <w:szCs w:val="17"/>
              </w:rPr>
              <w:t> </w:t>
            </w:r>
          </w:p>
        </w:tc>
        <w:tc>
          <w:tcPr>
            <w:tcW w:w="2240" w:type="dxa"/>
            <w:tcBorders>
              <w:top w:val="single" w:sz="4" w:space="0" w:color="auto"/>
              <w:left w:val="nil"/>
              <w:bottom w:val="single" w:sz="4" w:space="0" w:color="auto"/>
              <w:right w:val="single" w:sz="4" w:space="0" w:color="auto"/>
            </w:tcBorders>
            <w:shd w:val="clear" w:color="auto" w:fill="BFBFBF" w:themeFill="background1" w:themeFillShade="BF"/>
            <w:hideMark/>
          </w:tcPr>
          <w:p w14:paraId="2CC3C1C6" w14:textId="6B00AE7E" w:rsidR="00131BDF" w:rsidRPr="001045B7" w:rsidRDefault="00131BDF" w:rsidP="00131BDF">
            <w:pPr>
              <w:jc w:val="center"/>
              <w:rPr>
                <w:rFonts w:asciiTheme="minorHAnsi" w:hAnsiTheme="minorHAnsi" w:cstheme="minorHAnsi"/>
                <w:b/>
                <w:bCs/>
                <w:sz w:val="17"/>
                <w:szCs w:val="17"/>
              </w:rPr>
            </w:pPr>
            <w:r w:rsidRPr="001045B7">
              <w:rPr>
                <w:rFonts w:asciiTheme="minorHAnsi" w:hAnsiTheme="minorHAnsi" w:cstheme="minorHAnsi"/>
                <w:b/>
                <w:sz w:val="17"/>
                <w:szCs w:val="17"/>
              </w:rPr>
              <w:t>Al 31 de dic. del año 2023</w:t>
            </w:r>
          </w:p>
        </w:tc>
        <w:tc>
          <w:tcPr>
            <w:tcW w:w="29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EDA46A" w14:textId="16EB2DFE" w:rsidR="00131BDF" w:rsidRPr="001045B7" w:rsidRDefault="002009D5" w:rsidP="00131BDF">
            <w:pPr>
              <w:rPr>
                <w:rFonts w:asciiTheme="minorHAnsi" w:hAnsiTheme="minorHAnsi" w:cstheme="minorHAnsi"/>
                <w:b/>
                <w:bCs/>
                <w:sz w:val="17"/>
                <w:szCs w:val="17"/>
              </w:rPr>
            </w:pPr>
            <w:r w:rsidRPr="001045B7">
              <w:rPr>
                <w:rFonts w:asciiTheme="minorHAnsi" w:hAnsiTheme="minorHAnsi" w:cstheme="minorHAnsi"/>
                <w:b/>
                <w:bCs/>
                <w:sz w:val="17"/>
                <w:szCs w:val="17"/>
              </w:rPr>
              <w:t xml:space="preserve">Trimestre que se informa </w:t>
            </w:r>
            <w:proofErr w:type="spellStart"/>
            <w:r w:rsidR="00937F76" w:rsidRPr="001045B7">
              <w:rPr>
                <w:rFonts w:asciiTheme="minorHAnsi" w:hAnsiTheme="minorHAnsi" w:cstheme="minorHAnsi"/>
                <w:b/>
                <w:bCs/>
                <w:sz w:val="17"/>
                <w:szCs w:val="17"/>
              </w:rPr>
              <w:t>4to</w:t>
            </w:r>
            <w:proofErr w:type="spellEnd"/>
            <w:r w:rsidR="00131BDF" w:rsidRPr="001045B7">
              <w:rPr>
                <w:rFonts w:asciiTheme="minorHAnsi" w:hAnsiTheme="minorHAnsi" w:cstheme="minorHAnsi"/>
                <w:b/>
                <w:bCs/>
                <w:sz w:val="17"/>
                <w:szCs w:val="17"/>
              </w:rPr>
              <w:t xml:space="preserve"> de 2024</w:t>
            </w:r>
          </w:p>
        </w:tc>
      </w:tr>
      <w:tr w:rsidR="00B05873" w:rsidRPr="001045B7" w14:paraId="06DA7B38" w14:textId="77777777" w:rsidTr="00131BDF">
        <w:trPr>
          <w:trHeight w:val="79"/>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E426" w14:textId="5A750D89" w:rsidR="00B05873" w:rsidRPr="001045B7" w:rsidRDefault="00B05873" w:rsidP="00B0587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Producto interno bruto estatal</w:t>
            </w:r>
          </w:p>
        </w:tc>
        <w:tc>
          <w:tcPr>
            <w:tcW w:w="2240" w:type="dxa"/>
            <w:tcBorders>
              <w:top w:val="single" w:sz="4" w:space="0" w:color="auto"/>
              <w:left w:val="nil"/>
              <w:bottom w:val="single" w:sz="4" w:space="0" w:color="auto"/>
              <w:right w:val="single" w:sz="4" w:space="0" w:color="auto"/>
            </w:tcBorders>
            <w:shd w:val="clear" w:color="auto" w:fill="auto"/>
            <w:hideMark/>
          </w:tcPr>
          <w:p w14:paraId="4AE935FC" w14:textId="278C0972" w:rsidR="00B05873" w:rsidRPr="001045B7" w:rsidRDefault="00B05873" w:rsidP="00B05873">
            <w:pPr>
              <w:ind w:firstLineChars="200" w:firstLine="340"/>
              <w:jc w:val="right"/>
              <w:rPr>
                <w:rFonts w:asciiTheme="minorHAnsi" w:hAnsiTheme="minorHAnsi" w:cstheme="minorHAnsi"/>
                <w:sz w:val="17"/>
                <w:szCs w:val="17"/>
              </w:rPr>
            </w:pPr>
            <w:r w:rsidRPr="001045B7">
              <w:rPr>
                <w:rFonts w:asciiTheme="minorHAnsi" w:hAnsiTheme="minorHAnsi" w:cstheme="minorHAnsi"/>
                <w:sz w:val="17"/>
                <w:szCs w:val="17"/>
              </w:rPr>
              <w:t>614,127,161,000</w:t>
            </w:r>
          </w:p>
        </w:tc>
        <w:tc>
          <w:tcPr>
            <w:tcW w:w="2994" w:type="dxa"/>
            <w:tcBorders>
              <w:top w:val="single" w:sz="4" w:space="0" w:color="auto"/>
              <w:left w:val="nil"/>
              <w:bottom w:val="single" w:sz="4" w:space="0" w:color="auto"/>
              <w:right w:val="single" w:sz="4" w:space="0" w:color="auto"/>
            </w:tcBorders>
            <w:shd w:val="clear" w:color="auto" w:fill="auto"/>
            <w:hideMark/>
          </w:tcPr>
          <w:p w14:paraId="6FC8D684" w14:textId="57889EEB" w:rsidR="00B05873" w:rsidRPr="001045B7" w:rsidRDefault="00B05873" w:rsidP="00B05873">
            <w:pPr>
              <w:ind w:firstLineChars="200" w:firstLine="340"/>
              <w:jc w:val="right"/>
              <w:rPr>
                <w:rFonts w:asciiTheme="minorHAnsi" w:hAnsiTheme="minorHAnsi" w:cstheme="minorHAnsi"/>
                <w:sz w:val="17"/>
                <w:szCs w:val="17"/>
              </w:rPr>
            </w:pPr>
            <w:r w:rsidRPr="001045B7">
              <w:rPr>
                <w:rFonts w:asciiTheme="minorHAnsi" w:hAnsiTheme="minorHAnsi" w:cstheme="minorHAnsi"/>
                <w:sz w:val="17"/>
                <w:szCs w:val="17"/>
              </w:rPr>
              <w:t>614,127,161,000</w:t>
            </w:r>
          </w:p>
        </w:tc>
      </w:tr>
      <w:tr w:rsidR="00B05873" w:rsidRPr="001045B7" w14:paraId="794769AE" w14:textId="77777777" w:rsidTr="00131BDF">
        <w:trPr>
          <w:trHeight w:val="139"/>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D12A" w14:textId="1D93F8ED" w:rsidR="00B05873" w:rsidRPr="001045B7" w:rsidRDefault="00B05873" w:rsidP="00B0587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 xml:space="preserve">Saldo de la deuda pública </w:t>
            </w:r>
          </w:p>
        </w:tc>
        <w:tc>
          <w:tcPr>
            <w:tcW w:w="2240" w:type="dxa"/>
            <w:tcBorders>
              <w:top w:val="single" w:sz="4" w:space="0" w:color="auto"/>
              <w:left w:val="nil"/>
              <w:bottom w:val="single" w:sz="4" w:space="0" w:color="auto"/>
              <w:right w:val="single" w:sz="4" w:space="0" w:color="auto"/>
            </w:tcBorders>
            <w:shd w:val="clear" w:color="auto" w:fill="auto"/>
            <w:hideMark/>
          </w:tcPr>
          <w:p w14:paraId="0825E61E" w14:textId="094100CD" w:rsidR="00B05873" w:rsidRPr="001045B7" w:rsidRDefault="00B05873" w:rsidP="00B0587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1,537,246,577</w:t>
            </w:r>
          </w:p>
        </w:tc>
        <w:tc>
          <w:tcPr>
            <w:tcW w:w="2994" w:type="dxa"/>
            <w:tcBorders>
              <w:top w:val="single" w:sz="4" w:space="0" w:color="auto"/>
              <w:left w:val="nil"/>
              <w:bottom w:val="single" w:sz="4" w:space="0" w:color="auto"/>
              <w:right w:val="single" w:sz="4" w:space="0" w:color="auto"/>
            </w:tcBorders>
            <w:shd w:val="clear" w:color="auto" w:fill="auto"/>
            <w:hideMark/>
          </w:tcPr>
          <w:p w14:paraId="30F9C6AB" w14:textId="1B6A9135" w:rsidR="00B05873" w:rsidRPr="001045B7" w:rsidRDefault="00B05873" w:rsidP="00B0587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2,455,691,519</w:t>
            </w:r>
          </w:p>
        </w:tc>
      </w:tr>
      <w:tr w:rsidR="00B05873" w:rsidRPr="001045B7" w14:paraId="6EEDEBE9" w14:textId="77777777" w:rsidTr="00131BDF">
        <w:trPr>
          <w:trHeight w:val="70"/>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3711" w14:textId="52C2F0A2" w:rsidR="00B05873" w:rsidRPr="001045B7" w:rsidRDefault="00B05873" w:rsidP="00B0587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Porcentaje</w:t>
            </w:r>
          </w:p>
        </w:tc>
        <w:tc>
          <w:tcPr>
            <w:tcW w:w="2240" w:type="dxa"/>
            <w:tcBorders>
              <w:top w:val="single" w:sz="4" w:space="0" w:color="auto"/>
              <w:left w:val="nil"/>
              <w:bottom w:val="single" w:sz="4" w:space="0" w:color="auto"/>
              <w:right w:val="single" w:sz="4" w:space="0" w:color="auto"/>
            </w:tcBorders>
            <w:shd w:val="clear" w:color="auto" w:fill="auto"/>
            <w:hideMark/>
          </w:tcPr>
          <w:p w14:paraId="0D834E96" w14:textId="2D8033D6" w:rsidR="00B05873" w:rsidRPr="001045B7" w:rsidRDefault="00B05873" w:rsidP="00B0587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0.25%</w:t>
            </w:r>
          </w:p>
        </w:tc>
        <w:tc>
          <w:tcPr>
            <w:tcW w:w="2994" w:type="dxa"/>
            <w:tcBorders>
              <w:top w:val="single" w:sz="4" w:space="0" w:color="auto"/>
              <w:left w:val="nil"/>
              <w:bottom w:val="single" w:sz="4" w:space="0" w:color="auto"/>
              <w:right w:val="single" w:sz="4" w:space="0" w:color="auto"/>
            </w:tcBorders>
            <w:shd w:val="clear" w:color="auto" w:fill="auto"/>
            <w:hideMark/>
          </w:tcPr>
          <w:p w14:paraId="016A87F1" w14:textId="67EC7FBF" w:rsidR="00B05873" w:rsidRPr="001045B7" w:rsidRDefault="00B05873" w:rsidP="00B0587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0.40%</w:t>
            </w:r>
          </w:p>
        </w:tc>
      </w:tr>
    </w:tbl>
    <w:p w14:paraId="4A4EB8F7" w14:textId="77777777" w:rsidR="002009D5" w:rsidRPr="001045B7" w:rsidRDefault="002009D5" w:rsidP="002009D5">
      <w:pPr>
        <w:spacing w:line="276" w:lineRule="auto"/>
        <w:rPr>
          <w:rFonts w:asciiTheme="minorHAnsi" w:hAnsiTheme="minorHAnsi" w:cstheme="minorHAnsi"/>
          <w:sz w:val="17"/>
          <w:szCs w:val="17"/>
        </w:rPr>
      </w:pPr>
    </w:p>
    <w:p w14:paraId="6B7E97A0" w14:textId="58707AA0" w:rsidR="002009D5" w:rsidRPr="001045B7" w:rsidRDefault="00B05873" w:rsidP="002009D5">
      <w:pPr>
        <w:spacing w:line="276" w:lineRule="auto"/>
        <w:rPr>
          <w:rFonts w:asciiTheme="minorHAnsi" w:hAnsiTheme="minorHAnsi" w:cstheme="minorHAnsi"/>
          <w:sz w:val="17"/>
          <w:szCs w:val="17"/>
        </w:rPr>
      </w:pPr>
      <w:r w:rsidRPr="001045B7">
        <w:rPr>
          <w:rFonts w:asciiTheme="minorHAnsi" w:hAnsiTheme="minorHAnsi" w:cstheme="minorHAnsi"/>
          <w:sz w:val="17"/>
          <w:szCs w:val="17"/>
        </w:rPr>
        <w:t>Nota: Producto Interno Bruto estatal a precios de mercado, obtenido de la página del INEGI: Sistema de Cuentas Nacionales de México. Producto Interno Bruto por Entidad Federativa. Año Base 2018. Serie de 1980 a 2023. 2023 preliminares.</w:t>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r w:rsidRPr="001045B7">
        <w:rPr>
          <w:rFonts w:asciiTheme="minorHAnsi" w:hAnsiTheme="minorHAnsi" w:cstheme="minorHAnsi"/>
          <w:sz w:val="17"/>
          <w:szCs w:val="17"/>
        </w:rPr>
        <w:tab/>
      </w:r>
    </w:p>
    <w:p w14:paraId="104356AE" w14:textId="77777777" w:rsidR="002009D5" w:rsidRPr="001045B7" w:rsidRDefault="002009D5" w:rsidP="002009D5">
      <w:pPr>
        <w:spacing w:line="276" w:lineRule="auto"/>
        <w:rPr>
          <w:rFonts w:asciiTheme="minorHAnsi" w:hAnsiTheme="minorHAnsi" w:cstheme="minorHAnsi"/>
          <w:sz w:val="16"/>
          <w:szCs w:val="16"/>
        </w:rPr>
      </w:pPr>
    </w:p>
    <w:p w14:paraId="12DAE03B" w14:textId="1D820F71" w:rsidR="002009D5" w:rsidRPr="001045B7" w:rsidRDefault="002A7B90" w:rsidP="002009D5">
      <w:pPr>
        <w:pStyle w:val="Prrafodelista"/>
        <w:numPr>
          <w:ilvl w:val="0"/>
          <w:numId w:val="38"/>
        </w:numPr>
        <w:spacing w:line="276" w:lineRule="auto"/>
        <w:rPr>
          <w:rFonts w:asciiTheme="minorHAnsi" w:hAnsiTheme="minorHAnsi" w:cstheme="minorHAnsi"/>
          <w:sz w:val="16"/>
          <w:szCs w:val="16"/>
        </w:rPr>
      </w:pPr>
      <w:r w:rsidRPr="001045B7">
        <w:rPr>
          <w:rFonts w:asciiTheme="minorHAnsi" w:hAnsiTheme="minorHAnsi" w:cstheme="minorHAnsi"/>
          <w:sz w:val="16"/>
          <w:szCs w:val="16"/>
        </w:rPr>
        <w:t>Un comparativo de la relación deuda pública bruta total a ingresos propios del estado, según corresponda, entre el 31 de diciembre del ejercicio fiscal anterior y la fecha de la amortización.</w:t>
      </w:r>
    </w:p>
    <w:p w14:paraId="274A2335" w14:textId="5F9283E5" w:rsidR="00447FE0" w:rsidRPr="001045B7" w:rsidRDefault="00447FE0" w:rsidP="002009D5">
      <w:pPr>
        <w:pStyle w:val="Prrafodelista"/>
        <w:spacing w:line="276" w:lineRule="auto"/>
        <w:rPr>
          <w:rFonts w:asciiTheme="minorHAnsi" w:hAnsiTheme="minorHAnsi" w:cstheme="minorHAnsi"/>
          <w:sz w:val="16"/>
          <w:szCs w:val="16"/>
        </w:rPr>
      </w:pPr>
      <w:r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r w:rsidR="00172F9E" w:rsidRPr="001045B7">
        <w:rPr>
          <w:rFonts w:asciiTheme="minorHAnsi" w:hAnsiTheme="minorHAnsi" w:cstheme="minorHAnsi"/>
          <w:sz w:val="16"/>
          <w:szCs w:val="16"/>
        </w:rPr>
        <w:tab/>
      </w:r>
    </w:p>
    <w:tbl>
      <w:tblPr>
        <w:tblW w:w="7792" w:type="dxa"/>
        <w:jc w:val="center"/>
        <w:tblCellMar>
          <w:left w:w="70" w:type="dxa"/>
          <w:right w:w="70" w:type="dxa"/>
        </w:tblCellMar>
        <w:tblLook w:val="04A0" w:firstRow="1" w:lastRow="0" w:firstColumn="1" w:lastColumn="0" w:noHBand="0" w:noVBand="1"/>
      </w:tblPr>
      <w:tblGrid>
        <w:gridCol w:w="2836"/>
        <w:gridCol w:w="2121"/>
        <w:gridCol w:w="2835"/>
      </w:tblGrid>
      <w:tr w:rsidR="002A7B90" w:rsidRPr="001045B7" w14:paraId="3AEF5CB7" w14:textId="77777777" w:rsidTr="002A27CE">
        <w:trPr>
          <w:trHeight w:val="214"/>
          <w:jc w:val="center"/>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8EF86" w14:textId="2D6FFF6F" w:rsidR="002A7B90" w:rsidRPr="001045B7" w:rsidRDefault="002A7B90" w:rsidP="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 </w:t>
            </w:r>
          </w:p>
        </w:tc>
        <w:tc>
          <w:tcPr>
            <w:tcW w:w="212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29B6F5" w14:textId="70E51121" w:rsidR="002A7B90" w:rsidRPr="001045B7" w:rsidRDefault="002A7B90" w:rsidP="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Al 31 de dic. del año 2023</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5C8F39" w14:textId="22264DCF" w:rsidR="002A7B90" w:rsidRPr="001045B7" w:rsidRDefault="002A27CE" w:rsidP="002A7B90">
            <w:pPr>
              <w:jc w:val="center"/>
              <w:rPr>
                <w:rFonts w:asciiTheme="minorHAnsi" w:hAnsiTheme="minorHAnsi" w:cstheme="minorHAnsi"/>
                <w:b/>
                <w:bCs/>
                <w:sz w:val="17"/>
                <w:szCs w:val="17"/>
              </w:rPr>
            </w:pPr>
            <w:r w:rsidRPr="001045B7">
              <w:rPr>
                <w:rFonts w:asciiTheme="minorHAnsi" w:hAnsiTheme="minorHAnsi" w:cstheme="minorHAnsi"/>
                <w:b/>
                <w:bCs/>
                <w:sz w:val="17"/>
                <w:szCs w:val="17"/>
              </w:rPr>
              <w:t xml:space="preserve">Trimestre que se informa </w:t>
            </w:r>
            <w:proofErr w:type="spellStart"/>
            <w:r w:rsidR="00B26713" w:rsidRPr="001045B7">
              <w:rPr>
                <w:rFonts w:asciiTheme="minorHAnsi" w:hAnsiTheme="minorHAnsi" w:cstheme="minorHAnsi"/>
                <w:b/>
                <w:bCs/>
                <w:sz w:val="17"/>
                <w:szCs w:val="17"/>
              </w:rPr>
              <w:t>4to</w:t>
            </w:r>
            <w:proofErr w:type="spellEnd"/>
            <w:r w:rsidR="002A7B90" w:rsidRPr="001045B7">
              <w:rPr>
                <w:rFonts w:asciiTheme="minorHAnsi" w:hAnsiTheme="minorHAnsi" w:cstheme="minorHAnsi"/>
                <w:b/>
                <w:bCs/>
                <w:sz w:val="17"/>
                <w:szCs w:val="17"/>
              </w:rPr>
              <w:t xml:space="preserve"> de 2024</w:t>
            </w:r>
          </w:p>
        </w:tc>
      </w:tr>
      <w:tr w:rsidR="00B26713" w:rsidRPr="001045B7" w14:paraId="2ACE2875" w14:textId="77777777" w:rsidTr="00DF6167">
        <w:trPr>
          <w:trHeight w:val="7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BE9C" w14:textId="7A61E454" w:rsidR="00B26713" w:rsidRPr="001045B7" w:rsidRDefault="00B26713" w:rsidP="00B2671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Ingresos Propios</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15D13041" w14:textId="361EDB14"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10,218,773,941</w:t>
            </w:r>
          </w:p>
        </w:tc>
        <w:tc>
          <w:tcPr>
            <w:tcW w:w="2835" w:type="dxa"/>
            <w:tcBorders>
              <w:top w:val="single" w:sz="4" w:space="0" w:color="auto"/>
              <w:left w:val="nil"/>
              <w:bottom w:val="single" w:sz="4" w:space="0" w:color="auto"/>
              <w:right w:val="single" w:sz="4" w:space="0" w:color="auto"/>
            </w:tcBorders>
            <w:shd w:val="clear" w:color="auto" w:fill="auto"/>
            <w:hideMark/>
          </w:tcPr>
          <w:p w14:paraId="1534EF54" w14:textId="29C2388C"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13,589,787,808</w:t>
            </w:r>
          </w:p>
        </w:tc>
      </w:tr>
      <w:tr w:rsidR="00B26713" w:rsidRPr="001045B7" w14:paraId="6524E385" w14:textId="77777777" w:rsidTr="00DF6167">
        <w:trPr>
          <w:trHeight w:val="7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DA29" w14:textId="61175339" w:rsidR="00B26713" w:rsidRPr="001045B7" w:rsidRDefault="00B26713" w:rsidP="00B2671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Saldo de la Deuda Pública</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1CA81F94" w14:textId="01C04FBB"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1,537,246,577</w:t>
            </w:r>
          </w:p>
        </w:tc>
        <w:tc>
          <w:tcPr>
            <w:tcW w:w="2835" w:type="dxa"/>
            <w:tcBorders>
              <w:top w:val="single" w:sz="4" w:space="0" w:color="auto"/>
              <w:left w:val="nil"/>
              <w:bottom w:val="single" w:sz="4" w:space="0" w:color="auto"/>
              <w:right w:val="single" w:sz="4" w:space="0" w:color="auto"/>
            </w:tcBorders>
            <w:shd w:val="clear" w:color="auto" w:fill="auto"/>
            <w:hideMark/>
          </w:tcPr>
          <w:p w14:paraId="78D02B95" w14:textId="70DF3F46"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2,455,691,519</w:t>
            </w:r>
          </w:p>
        </w:tc>
      </w:tr>
      <w:tr w:rsidR="00B26713" w:rsidRPr="001045B7" w14:paraId="27F4A73C" w14:textId="77777777" w:rsidTr="00DF6167">
        <w:trPr>
          <w:trHeight w:val="7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50D6" w14:textId="68349ECB" w:rsidR="00B26713" w:rsidRPr="001045B7" w:rsidRDefault="00B26713" w:rsidP="00B26713">
            <w:pPr>
              <w:ind w:firstLineChars="200" w:firstLine="340"/>
              <w:rPr>
                <w:rFonts w:asciiTheme="minorHAnsi" w:hAnsiTheme="minorHAnsi" w:cstheme="minorHAnsi"/>
                <w:color w:val="000000"/>
                <w:sz w:val="17"/>
                <w:szCs w:val="17"/>
              </w:rPr>
            </w:pPr>
            <w:r w:rsidRPr="001045B7">
              <w:rPr>
                <w:rFonts w:asciiTheme="minorHAnsi" w:hAnsiTheme="minorHAnsi" w:cstheme="minorHAnsi"/>
                <w:color w:val="000000"/>
                <w:sz w:val="17"/>
                <w:szCs w:val="17"/>
              </w:rPr>
              <w:t>Porcentaje</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58DF14AE" w14:textId="761A3C9B"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15.04%</w:t>
            </w:r>
          </w:p>
        </w:tc>
        <w:tc>
          <w:tcPr>
            <w:tcW w:w="2835" w:type="dxa"/>
            <w:tcBorders>
              <w:top w:val="single" w:sz="4" w:space="0" w:color="auto"/>
              <w:left w:val="nil"/>
              <w:bottom w:val="single" w:sz="4" w:space="0" w:color="auto"/>
              <w:right w:val="single" w:sz="4" w:space="0" w:color="auto"/>
            </w:tcBorders>
            <w:shd w:val="clear" w:color="auto" w:fill="auto"/>
            <w:hideMark/>
          </w:tcPr>
          <w:p w14:paraId="0129497B" w14:textId="5FEA6553" w:rsidR="00B26713" w:rsidRPr="001045B7" w:rsidRDefault="00B26713" w:rsidP="00B26713">
            <w:pPr>
              <w:ind w:firstLineChars="200" w:firstLine="340"/>
              <w:jc w:val="right"/>
              <w:rPr>
                <w:rFonts w:asciiTheme="minorHAnsi" w:hAnsiTheme="minorHAnsi" w:cstheme="minorHAnsi"/>
                <w:color w:val="000000"/>
                <w:sz w:val="17"/>
                <w:szCs w:val="17"/>
              </w:rPr>
            </w:pPr>
            <w:r w:rsidRPr="001045B7">
              <w:rPr>
                <w:rFonts w:asciiTheme="minorHAnsi" w:hAnsiTheme="minorHAnsi" w:cstheme="minorHAnsi"/>
                <w:sz w:val="17"/>
                <w:szCs w:val="17"/>
              </w:rPr>
              <w:t>18.07%</w:t>
            </w:r>
          </w:p>
        </w:tc>
      </w:tr>
    </w:tbl>
    <w:p w14:paraId="16DAF532" w14:textId="208F95EC" w:rsidR="002009D5" w:rsidRDefault="002009D5" w:rsidP="00447FE0">
      <w:pPr>
        <w:spacing w:line="276" w:lineRule="auto"/>
        <w:rPr>
          <w:rFonts w:asciiTheme="minorHAnsi" w:hAnsiTheme="minorHAnsi" w:cstheme="minorHAnsi"/>
          <w:sz w:val="17"/>
          <w:szCs w:val="17"/>
        </w:rPr>
      </w:pPr>
    </w:p>
    <w:p w14:paraId="3F7730A4" w14:textId="5A91CD02" w:rsidR="00161D6F" w:rsidRDefault="00161D6F" w:rsidP="00447FE0">
      <w:pPr>
        <w:spacing w:line="276" w:lineRule="auto"/>
        <w:rPr>
          <w:rFonts w:asciiTheme="minorHAnsi" w:hAnsiTheme="minorHAnsi" w:cstheme="minorHAnsi"/>
          <w:sz w:val="17"/>
          <w:szCs w:val="17"/>
        </w:rPr>
      </w:pPr>
    </w:p>
    <w:p w14:paraId="26729FDE" w14:textId="21971C6C" w:rsidR="00161D6F" w:rsidRDefault="00161D6F" w:rsidP="00447FE0">
      <w:pPr>
        <w:spacing w:line="276" w:lineRule="auto"/>
        <w:rPr>
          <w:rFonts w:asciiTheme="minorHAnsi" w:hAnsiTheme="minorHAnsi" w:cstheme="minorHAnsi"/>
          <w:sz w:val="17"/>
          <w:szCs w:val="17"/>
        </w:rPr>
      </w:pPr>
    </w:p>
    <w:p w14:paraId="3D2A21D1" w14:textId="77777777" w:rsidR="00CF6D51" w:rsidRPr="001045B7" w:rsidRDefault="00CF6D51" w:rsidP="00447FE0">
      <w:pPr>
        <w:spacing w:line="276" w:lineRule="auto"/>
        <w:rPr>
          <w:rFonts w:asciiTheme="minorHAnsi" w:hAnsiTheme="minorHAnsi" w:cstheme="minorHAnsi"/>
          <w:sz w:val="17"/>
          <w:szCs w:val="17"/>
        </w:rPr>
      </w:pPr>
    </w:p>
    <w:p w14:paraId="2FAB9C39" w14:textId="3CC94483" w:rsidR="002009D5" w:rsidRPr="001045B7" w:rsidRDefault="00E54130" w:rsidP="009447A6">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Calificaciones otorgadas</w:t>
      </w:r>
    </w:p>
    <w:p w14:paraId="1EF09287" w14:textId="77777777" w:rsidR="00E54130" w:rsidRPr="001045B7" w:rsidRDefault="00E54130" w:rsidP="00860054">
      <w:pPr>
        <w:spacing w:line="276" w:lineRule="auto"/>
        <w:jc w:val="both"/>
        <w:rPr>
          <w:rFonts w:asciiTheme="minorHAnsi" w:hAnsiTheme="minorHAnsi" w:cstheme="minorHAnsi"/>
          <w:sz w:val="17"/>
          <w:szCs w:val="17"/>
        </w:rPr>
      </w:pPr>
    </w:p>
    <w:p w14:paraId="321729F3" w14:textId="32544042" w:rsidR="00E54130" w:rsidRDefault="00E54130" w:rsidP="00860054">
      <w:pPr>
        <w:pStyle w:val="Prrafodelista"/>
        <w:numPr>
          <w:ilvl w:val="0"/>
          <w:numId w:val="28"/>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 xml:space="preserve">Opinión Crediticia emitida por Moody’s: </w:t>
      </w:r>
    </w:p>
    <w:p w14:paraId="6531F4D2" w14:textId="63C98F45" w:rsidR="00BC79D2" w:rsidRDefault="00BC79D2" w:rsidP="00BC79D2">
      <w:pPr>
        <w:spacing w:line="276" w:lineRule="auto"/>
        <w:jc w:val="both"/>
        <w:rPr>
          <w:rFonts w:asciiTheme="minorHAnsi" w:hAnsiTheme="minorHAnsi" w:cstheme="minorHAnsi"/>
          <w:b/>
          <w:sz w:val="17"/>
          <w:szCs w:val="17"/>
        </w:rPr>
      </w:pPr>
    </w:p>
    <w:p w14:paraId="2C43E71E" w14:textId="77777777" w:rsidR="00BC79D2" w:rsidRPr="00BC79D2" w:rsidRDefault="00BC79D2" w:rsidP="00BC79D2">
      <w:pPr>
        <w:spacing w:line="276" w:lineRule="auto"/>
        <w:jc w:val="both"/>
        <w:rPr>
          <w:rFonts w:asciiTheme="minorHAnsi" w:hAnsiTheme="minorHAnsi" w:cstheme="minorHAnsi"/>
          <w:bCs/>
          <w:sz w:val="17"/>
          <w:szCs w:val="17"/>
        </w:rPr>
      </w:pPr>
      <w:r w:rsidRPr="00BC79D2">
        <w:rPr>
          <w:rFonts w:asciiTheme="minorHAnsi" w:hAnsiTheme="minorHAnsi" w:cstheme="minorHAnsi"/>
          <w:bCs/>
          <w:sz w:val="17"/>
          <w:szCs w:val="17"/>
        </w:rPr>
        <w:t xml:space="preserve">El 25 de marzo de 2024, Moody’s Local México afirmó la calificación de emisor de </w:t>
      </w:r>
      <w:proofErr w:type="spellStart"/>
      <w:r w:rsidRPr="00BC79D2">
        <w:rPr>
          <w:rFonts w:asciiTheme="minorHAnsi" w:hAnsiTheme="minorHAnsi" w:cstheme="minorHAnsi"/>
          <w:bCs/>
          <w:sz w:val="17"/>
          <w:szCs w:val="17"/>
        </w:rPr>
        <w:t>AAA.mx</w:t>
      </w:r>
      <w:proofErr w:type="spellEnd"/>
      <w:r w:rsidRPr="00BC79D2">
        <w:rPr>
          <w:rFonts w:asciiTheme="minorHAnsi" w:hAnsiTheme="minorHAnsi" w:cstheme="minorHAnsi"/>
          <w:bCs/>
          <w:sz w:val="17"/>
          <w:szCs w:val="17"/>
        </w:rPr>
        <w:t>, estable al Estado de Querétaro. El perfil crediticio del estado incluye fuertes prácticas de administración</w:t>
      </w:r>
    </w:p>
    <w:p w14:paraId="082ACC45" w14:textId="5AEAB381" w:rsidR="00BC79D2" w:rsidRPr="00BC79D2" w:rsidRDefault="00BC79D2" w:rsidP="00BC79D2">
      <w:pPr>
        <w:spacing w:line="276" w:lineRule="auto"/>
        <w:jc w:val="both"/>
        <w:rPr>
          <w:rFonts w:asciiTheme="minorHAnsi" w:hAnsiTheme="minorHAnsi" w:cstheme="minorHAnsi"/>
          <w:bCs/>
          <w:sz w:val="17"/>
          <w:szCs w:val="17"/>
        </w:rPr>
      </w:pPr>
      <w:r w:rsidRPr="00BC79D2">
        <w:rPr>
          <w:rFonts w:asciiTheme="minorHAnsi" w:hAnsiTheme="minorHAnsi" w:cstheme="minorHAnsi"/>
          <w:bCs/>
          <w:sz w:val="17"/>
          <w:szCs w:val="17"/>
        </w:rPr>
        <w:t>y gobierno interno, un bajo nivel de endeudamiento y un sólido nivel de ingresos propios. El estado se encuentra ejecutando un amplio programa de inversión en infraestructura, lo que ha</w:t>
      </w:r>
      <w:r>
        <w:rPr>
          <w:rFonts w:asciiTheme="minorHAnsi" w:hAnsiTheme="minorHAnsi" w:cstheme="minorHAnsi"/>
          <w:bCs/>
          <w:sz w:val="17"/>
          <w:szCs w:val="17"/>
        </w:rPr>
        <w:t xml:space="preserve"> </w:t>
      </w:r>
      <w:r w:rsidRPr="00BC79D2">
        <w:rPr>
          <w:rFonts w:asciiTheme="minorHAnsi" w:hAnsiTheme="minorHAnsi" w:cstheme="minorHAnsi"/>
          <w:bCs/>
          <w:sz w:val="17"/>
          <w:szCs w:val="17"/>
        </w:rPr>
        <w:t>elevado los requerimientos de gasto en bienes y obras públicas, que estimamos serán equivalentes en promedio al 8.9% de los ingresos totales para 2024-2025, versus un promedio de 3.3%</w:t>
      </w:r>
      <w:r>
        <w:rPr>
          <w:rFonts w:asciiTheme="minorHAnsi" w:hAnsiTheme="minorHAnsi" w:cstheme="minorHAnsi"/>
          <w:bCs/>
          <w:sz w:val="17"/>
          <w:szCs w:val="17"/>
        </w:rPr>
        <w:t xml:space="preserve"> </w:t>
      </w:r>
      <w:r w:rsidRPr="00BC79D2">
        <w:rPr>
          <w:rFonts w:asciiTheme="minorHAnsi" w:hAnsiTheme="minorHAnsi" w:cstheme="minorHAnsi"/>
          <w:bCs/>
          <w:sz w:val="17"/>
          <w:szCs w:val="17"/>
        </w:rPr>
        <w:t>entre 2019-2023. Proyectamos que el estado registrará un déficit financiero equivalente en promedio al 3.3% de los ingresos totales durante el periodo. La acumulación de amplias reservas de</w:t>
      </w:r>
    </w:p>
    <w:p w14:paraId="468A2F85" w14:textId="728FE6C2" w:rsidR="00BC79D2" w:rsidRPr="00BC79D2" w:rsidRDefault="00BC79D2" w:rsidP="00BC79D2">
      <w:pPr>
        <w:spacing w:line="276" w:lineRule="auto"/>
        <w:jc w:val="both"/>
        <w:rPr>
          <w:rFonts w:asciiTheme="minorHAnsi" w:hAnsiTheme="minorHAnsi" w:cstheme="minorHAnsi"/>
          <w:bCs/>
          <w:sz w:val="17"/>
          <w:szCs w:val="17"/>
        </w:rPr>
      </w:pPr>
      <w:r w:rsidRPr="00BC79D2">
        <w:rPr>
          <w:rFonts w:asciiTheme="minorHAnsi" w:hAnsiTheme="minorHAnsi" w:cstheme="minorHAnsi"/>
          <w:bCs/>
          <w:sz w:val="17"/>
          <w:szCs w:val="17"/>
        </w:rPr>
        <w:t>efectivo, la disposición de financiamientos y mayores ingresos por aprovechamientos, permitirán a Querétaro absorber el incremento del gasto de capital para 2024- 2025. El perfil crediticio</w:t>
      </w:r>
      <w:r>
        <w:rPr>
          <w:rFonts w:asciiTheme="minorHAnsi" w:hAnsiTheme="minorHAnsi" w:cstheme="minorHAnsi"/>
          <w:bCs/>
          <w:sz w:val="17"/>
          <w:szCs w:val="17"/>
        </w:rPr>
        <w:t xml:space="preserve"> </w:t>
      </w:r>
      <w:r w:rsidRPr="00BC79D2">
        <w:rPr>
          <w:rFonts w:asciiTheme="minorHAnsi" w:hAnsiTheme="minorHAnsi" w:cstheme="minorHAnsi"/>
          <w:bCs/>
          <w:sz w:val="17"/>
          <w:szCs w:val="17"/>
        </w:rPr>
        <w:t>del estado también considera un alto nivel de pasivos no fondeados por pensiones.</w:t>
      </w:r>
    </w:p>
    <w:p w14:paraId="531FB8C9" w14:textId="6C14CB2F" w:rsidR="00597DBA" w:rsidRDefault="00597DBA" w:rsidP="00597DBA">
      <w:pPr>
        <w:spacing w:line="276" w:lineRule="auto"/>
        <w:jc w:val="both"/>
        <w:rPr>
          <w:rFonts w:asciiTheme="minorHAnsi" w:hAnsiTheme="minorHAnsi" w:cstheme="minorHAnsi"/>
          <w:b/>
          <w:sz w:val="17"/>
          <w:szCs w:val="17"/>
        </w:rPr>
      </w:pPr>
    </w:p>
    <w:p w14:paraId="30C26782" w14:textId="78C926DD" w:rsidR="00AB2A19" w:rsidRDefault="00AB2A19" w:rsidP="00AB2A19">
      <w:pPr>
        <w:spacing w:line="276" w:lineRule="auto"/>
        <w:ind w:firstLine="708"/>
        <w:jc w:val="both"/>
        <w:rPr>
          <w:rFonts w:asciiTheme="minorHAnsi" w:hAnsiTheme="minorHAnsi" w:cstheme="minorHAnsi"/>
          <w:bCs/>
          <w:sz w:val="17"/>
          <w:szCs w:val="17"/>
        </w:rPr>
      </w:pPr>
      <w:r w:rsidRPr="00AB2A19">
        <w:rPr>
          <w:rFonts w:asciiTheme="minorHAnsi" w:hAnsiTheme="minorHAnsi" w:cstheme="minorHAnsi"/>
          <w:bCs/>
          <w:sz w:val="17"/>
          <w:szCs w:val="17"/>
        </w:rPr>
        <w:t>Fortalezas Crediticias</w:t>
      </w:r>
    </w:p>
    <w:p w14:paraId="57E4E3DF" w14:textId="77777777" w:rsidR="00AB2A19" w:rsidRPr="00AB2A19" w:rsidRDefault="00AB2A19" w:rsidP="00AB2A19">
      <w:pPr>
        <w:spacing w:line="276" w:lineRule="auto"/>
        <w:ind w:firstLine="708"/>
        <w:jc w:val="both"/>
        <w:rPr>
          <w:rFonts w:asciiTheme="minorHAnsi" w:hAnsiTheme="minorHAnsi" w:cstheme="minorHAnsi"/>
          <w:bCs/>
          <w:sz w:val="17"/>
          <w:szCs w:val="17"/>
        </w:rPr>
      </w:pPr>
    </w:p>
    <w:p w14:paraId="2D09A7DD" w14:textId="77777777" w:rsidR="00AB2A19" w:rsidRPr="00AB2A19" w:rsidRDefault="00AB2A19" w:rsidP="00AB2A19">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Altos ingresos propios respaldado por una economía regional dinámica</w:t>
      </w:r>
    </w:p>
    <w:p w14:paraId="6679A79E" w14:textId="77777777" w:rsidR="00AB2A19" w:rsidRPr="00AB2A19" w:rsidRDefault="00AB2A19" w:rsidP="00AB2A19">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Fuertes prácticas de gobierno y positivo desempeño operativo</w:t>
      </w:r>
    </w:p>
    <w:p w14:paraId="64204C89" w14:textId="0306B7F5" w:rsidR="00AB2A19" w:rsidRDefault="00AB2A19" w:rsidP="00AB2A19">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Bajo nivel de deuda</w:t>
      </w:r>
    </w:p>
    <w:p w14:paraId="33CBF298" w14:textId="77777777" w:rsidR="00AB2A19" w:rsidRPr="00AB2A19" w:rsidRDefault="00AB2A19" w:rsidP="00AB2A19">
      <w:pPr>
        <w:spacing w:line="276" w:lineRule="auto"/>
        <w:ind w:left="708" w:firstLine="708"/>
        <w:jc w:val="both"/>
        <w:rPr>
          <w:rFonts w:asciiTheme="minorHAnsi" w:hAnsiTheme="minorHAnsi" w:cstheme="minorHAnsi"/>
          <w:bCs/>
          <w:sz w:val="17"/>
          <w:szCs w:val="17"/>
        </w:rPr>
      </w:pPr>
    </w:p>
    <w:p w14:paraId="46251270" w14:textId="4B04F71C" w:rsidR="00AB2A19" w:rsidRDefault="00AB2A19" w:rsidP="00AB2A19">
      <w:pPr>
        <w:spacing w:line="276" w:lineRule="auto"/>
        <w:ind w:firstLine="708"/>
        <w:jc w:val="both"/>
        <w:rPr>
          <w:rFonts w:asciiTheme="minorHAnsi" w:hAnsiTheme="minorHAnsi" w:cstheme="minorHAnsi"/>
          <w:bCs/>
          <w:sz w:val="17"/>
          <w:szCs w:val="17"/>
        </w:rPr>
      </w:pPr>
      <w:r w:rsidRPr="00AB2A19">
        <w:rPr>
          <w:rFonts w:asciiTheme="minorHAnsi" w:hAnsiTheme="minorHAnsi" w:cstheme="minorHAnsi"/>
          <w:bCs/>
          <w:sz w:val="17"/>
          <w:szCs w:val="17"/>
        </w:rPr>
        <w:t>Debilidades Crediticias</w:t>
      </w:r>
    </w:p>
    <w:p w14:paraId="1888D04E" w14:textId="77777777" w:rsidR="006E2E62" w:rsidRPr="00AB2A19" w:rsidRDefault="006E2E62" w:rsidP="00AB2A19">
      <w:pPr>
        <w:spacing w:line="276" w:lineRule="auto"/>
        <w:ind w:firstLine="708"/>
        <w:jc w:val="both"/>
        <w:rPr>
          <w:rFonts w:asciiTheme="minorHAnsi" w:hAnsiTheme="minorHAnsi" w:cstheme="minorHAnsi"/>
          <w:bCs/>
          <w:sz w:val="17"/>
          <w:szCs w:val="17"/>
        </w:rPr>
      </w:pPr>
    </w:p>
    <w:p w14:paraId="17413765" w14:textId="77777777" w:rsidR="00AB2A19" w:rsidRPr="00AB2A19" w:rsidRDefault="00AB2A19" w:rsidP="00AB2A19">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Elevados requerimientos de gasto de capital</w:t>
      </w:r>
    </w:p>
    <w:p w14:paraId="3BF6D5F7" w14:textId="18546752" w:rsidR="00AB2A19" w:rsidRDefault="00AB2A19" w:rsidP="00AB2A19">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Altos pasivos por pensiones no fondeados</w:t>
      </w:r>
    </w:p>
    <w:p w14:paraId="790C64D1" w14:textId="77777777" w:rsidR="006E2E62" w:rsidRPr="00AB2A19" w:rsidRDefault="006E2E62" w:rsidP="00AB2A19">
      <w:pPr>
        <w:spacing w:line="276" w:lineRule="auto"/>
        <w:ind w:left="708" w:firstLine="708"/>
        <w:jc w:val="both"/>
        <w:rPr>
          <w:rFonts w:asciiTheme="minorHAnsi" w:hAnsiTheme="minorHAnsi" w:cstheme="minorHAnsi"/>
          <w:bCs/>
          <w:sz w:val="17"/>
          <w:szCs w:val="17"/>
        </w:rPr>
      </w:pPr>
    </w:p>
    <w:p w14:paraId="077B2805" w14:textId="6B849052" w:rsidR="00AB2A19" w:rsidRDefault="00AB2A19" w:rsidP="006E2E62">
      <w:pPr>
        <w:spacing w:line="276" w:lineRule="auto"/>
        <w:ind w:firstLine="708"/>
        <w:jc w:val="both"/>
        <w:rPr>
          <w:rFonts w:asciiTheme="minorHAnsi" w:hAnsiTheme="minorHAnsi" w:cstheme="minorHAnsi"/>
          <w:bCs/>
          <w:sz w:val="17"/>
          <w:szCs w:val="17"/>
        </w:rPr>
      </w:pPr>
      <w:r w:rsidRPr="00AB2A19">
        <w:rPr>
          <w:rFonts w:asciiTheme="minorHAnsi" w:hAnsiTheme="minorHAnsi" w:cstheme="minorHAnsi"/>
          <w:bCs/>
          <w:sz w:val="17"/>
          <w:szCs w:val="17"/>
        </w:rPr>
        <w:t>Factores que pueden generar un deterioro de la calificación</w:t>
      </w:r>
    </w:p>
    <w:p w14:paraId="57A1974B" w14:textId="6D35FBAC" w:rsidR="006E2E62" w:rsidRPr="00AB2A19" w:rsidRDefault="006E2E62" w:rsidP="006E2E62">
      <w:pPr>
        <w:spacing w:line="276" w:lineRule="auto"/>
        <w:ind w:firstLine="708"/>
        <w:jc w:val="both"/>
        <w:rPr>
          <w:rFonts w:asciiTheme="minorHAnsi" w:hAnsiTheme="minorHAnsi" w:cstheme="minorHAnsi"/>
          <w:bCs/>
          <w:sz w:val="17"/>
          <w:szCs w:val="17"/>
        </w:rPr>
      </w:pPr>
      <w:r>
        <w:rPr>
          <w:rFonts w:asciiTheme="minorHAnsi" w:hAnsiTheme="minorHAnsi" w:cstheme="minorHAnsi"/>
          <w:bCs/>
          <w:sz w:val="17"/>
          <w:szCs w:val="17"/>
        </w:rPr>
        <w:tab/>
      </w:r>
    </w:p>
    <w:p w14:paraId="1ABAFFA4" w14:textId="77777777" w:rsidR="00AB2A19" w:rsidRPr="00AB2A19" w:rsidRDefault="00AB2A19" w:rsidP="006E2E62">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Registro recurrente de déficits financieros</w:t>
      </w:r>
    </w:p>
    <w:p w14:paraId="74C3C734" w14:textId="53ABFFB9" w:rsidR="00AB2A19" w:rsidRDefault="00AB2A19" w:rsidP="006E2E62">
      <w:pPr>
        <w:spacing w:line="276" w:lineRule="auto"/>
        <w:ind w:left="708" w:firstLine="708"/>
        <w:jc w:val="both"/>
        <w:rPr>
          <w:rFonts w:asciiTheme="minorHAnsi" w:hAnsiTheme="minorHAnsi" w:cstheme="minorHAnsi"/>
          <w:bCs/>
          <w:sz w:val="17"/>
          <w:szCs w:val="17"/>
        </w:rPr>
      </w:pPr>
      <w:r w:rsidRPr="00AB2A19">
        <w:rPr>
          <w:rFonts w:asciiTheme="minorHAnsi" w:hAnsiTheme="minorHAnsi" w:cstheme="minorHAnsi"/>
          <w:bCs/>
          <w:sz w:val="17"/>
          <w:szCs w:val="17"/>
        </w:rPr>
        <w:t>- Menor posición de liquidez y/o aumento significativo del endeudamiento.</w:t>
      </w:r>
    </w:p>
    <w:p w14:paraId="0FD94EE8" w14:textId="1EB4CF42" w:rsidR="006E2E62" w:rsidRDefault="006E2E62" w:rsidP="006E2E62">
      <w:pPr>
        <w:spacing w:line="276" w:lineRule="auto"/>
        <w:jc w:val="both"/>
        <w:rPr>
          <w:rFonts w:asciiTheme="minorHAnsi" w:hAnsiTheme="minorHAnsi" w:cstheme="minorHAnsi"/>
          <w:bCs/>
          <w:sz w:val="17"/>
          <w:szCs w:val="17"/>
        </w:rPr>
      </w:pPr>
    </w:p>
    <w:p w14:paraId="52D04A34" w14:textId="77777777" w:rsidR="005311D1" w:rsidRDefault="005311D1" w:rsidP="006E2E62">
      <w:pPr>
        <w:spacing w:line="276" w:lineRule="auto"/>
        <w:jc w:val="both"/>
        <w:rPr>
          <w:rFonts w:asciiTheme="minorHAnsi" w:hAnsiTheme="minorHAnsi" w:cstheme="minorHAnsi"/>
          <w:bCs/>
          <w:sz w:val="17"/>
          <w:szCs w:val="17"/>
        </w:rPr>
      </w:pPr>
    </w:p>
    <w:p w14:paraId="588F69FF" w14:textId="0B40DFA4" w:rsidR="006E2E62" w:rsidRDefault="005311D1" w:rsidP="006E2E62">
      <w:pPr>
        <w:spacing w:line="276" w:lineRule="auto"/>
        <w:jc w:val="both"/>
        <w:rPr>
          <w:rFonts w:asciiTheme="minorHAnsi" w:hAnsiTheme="minorHAnsi" w:cstheme="minorHAnsi"/>
          <w:bCs/>
          <w:sz w:val="17"/>
          <w:szCs w:val="17"/>
        </w:rPr>
      </w:pPr>
      <w:r w:rsidRPr="006E2E62">
        <w:rPr>
          <w:rFonts w:asciiTheme="minorHAnsi" w:hAnsiTheme="minorHAnsi" w:cstheme="minorHAnsi"/>
          <w:bCs/>
          <w:sz w:val="17"/>
          <w:szCs w:val="17"/>
        </w:rPr>
        <w:t>Principales aspectos crediticios</w:t>
      </w:r>
    </w:p>
    <w:p w14:paraId="6C8EE2B4" w14:textId="77777777" w:rsidR="006E2E62" w:rsidRPr="006E2E62" w:rsidRDefault="006E2E62" w:rsidP="006E2E62">
      <w:pPr>
        <w:spacing w:line="276" w:lineRule="auto"/>
        <w:jc w:val="both"/>
        <w:rPr>
          <w:rFonts w:asciiTheme="minorHAnsi" w:hAnsiTheme="minorHAnsi" w:cstheme="minorHAnsi"/>
          <w:bCs/>
          <w:sz w:val="17"/>
          <w:szCs w:val="17"/>
        </w:rPr>
      </w:pPr>
    </w:p>
    <w:p w14:paraId="10E2363A" w14:textId="77777777" w:rsidR="006E2E62" w:rsidRPr="006E2E62" w:rsidRDefault="006E2E62" w:rsidP="005311D1">
      <w:pPr>
        <w:spacing w:line="276" w:lineRule="auto"/>
        <w:jc w:val="both"/>
        <w:rPr>
          <w:rFonts w:asciiTheme="minorHAnsi" w:hAnsiTheme="minorHAnsi" w:cstheme="minorHAnsi"/>
          <w:bCs/>
          <w:sz w:val="17"/>
          <w:szCs w:val="17"/>
        </w:rPr>
      </w:pPr>
      <w:r w:rsidRPr="006E2E62">
        <w:rPr>
          <w:rFonts w:asciiTheme="minorHAnsi" w:hAnsiTheme="minorHAnsi" w:cstheme="minorHAnsi"/>
          <w:bCs/>
          <w:sz w:val="17"/>
          <w:szCs w:val="17"/>
        </w:rPr>
        <w:t>Fuertes prácticas de gobierno</w:t>
      </w:r>
    </w:p>
    <w:p w14:paraId="46461FDB" w14:textId="77777777" w:rsidR="005311D1" w:rsidRDefault="005311D1" w:rsidP="006E2E62">
      <w:pPr>
        <w:spacing w:line="276" w:lineRule="auto"/>
        <w:jc w:val="both"/>
        <w:rPr>
          <w:rFonts w:asciiTheme="minorHAnsi" w:hAnsiTheme="minorHAnsi" w:cstheme="minorHAnsi"/>
          <w:bCs/>
          <w:sz w:val="17"/>
          <w:szCs w:val="17"/>
        </w:rPr>
      </w:pPr>
    </w:p>
    <w:p w14:paraId="197FDA91" w14:textId="0E5AA3AF" w:rsidR="006E2E62" w:rsidRPr="00AB2A19" w:rsidRDefault="006E2E62" w:rsidP="006E2E62">
      <w:pPr>
        <w:spacing w:line="276" w:lineRule="auto"/>
        <w:jc w:val="both"/>
        <w:rPr>
          <w:rFonts w:asciiTheme="minorHAnsi" w:hAnsiTheme="minorHAnsi" w:cstheme="minorHAnsi"/>
          <w:bCs/>
          <w:sz w:val="17"/>
          <w:szCs w:val="17"/>
        </w:rPr>
      </w:pPr>
      <w:r w:rsidRPr="006E2E62">
        <w:rPr>
          <w:rFonts w:asciiTheme="minorHAnsi" w:hAnsiTheme="minorHAnsi" w:cstheme="minorHAnsi"/>
          <w:bCs/>
          <w:sz w:val="17"/>
          <w:szCs w:val="17"/>
        </w:rPr>
        <w:t>Querétaro ha mantenido sólidas prácticas de administración y gobierno interno. El estado ha sido proactivo en la recaudación de ingresos propios y en la planeación de proyectos y obras que</w:t>
      </w:r>
      <w:r>
        <w:rPr>
          <w:rFonts w:asciiTheme="minorHAnsi" w:hAnsiTheme="minorHAnsi" w:cstheme="minorHAnsi"/>
          <w:bCs/>
          <w:sz w:val="17"/>
          <w:szCs w:val="17"/>
        </w:rPr>
        <w:t xml:space="preserve"> </w:t>
      </w:r>
      <w:r w:rsidRPr="006E2E62">
        <w:rPr>
          <w:rFonts w:asciiTheme="minorHAnsi" w:hAnsiTheme="minorHAnsi" w:cstheme="minorHAnsi"/>
          <w:bCs/>
          <w:sz w:val="17"/>
          <w:szCs w:val="17"/>
        </w:rPr>
        <w:t>tendrán un impacto en el desarrollo económico del estado en el largo plazo. El estado también ha logrado acumular amplias reservas de efectivo, lo que refleja un manejo prudente de la</w:t>
      </w:r>
      <w:r>
        <w:rPr>
          <w:rFonts w:asciiTheme="minorHAnsi" w:hAnsiTheme="minorHAnsi" w:cstheme="minorHAnsi"/>
          <w:bCs/>
          <w:sz w:val="17"/>
          <w:szCs w:val="17"/>
        </w:rPr>
        <w:t xml:space="preserve"> </w:t>
      </w:r>
      <w:r w:rsidRPr="006E2E62">
        <w:rPr>
          <w:rFonts w:asciiTheme="minorHAnsi" w:hAnsiTheme="minorHAnsi" w:cstheme="minorHAnsi"/>
          <w:bCs/>
          <w:sz w:val="17"/>
          <w:szCs w:val="17"/>
        </w:rPr>
        <w:t>posición de liquidez. En términos de reportes financieros, el estado genera estados financieros integrales y oportunos que son auditados por contadores externos. Asimismo, se destaca el</w:t>
      </w:r>
      <w:r>
        <w:rPr>
          <w:rFonts w:asciiTheme="minorHAnsi" w:hAnsiTheme="minorHAnsi" w:cstheme="minorHAnsi"/>
          <w:bCs/>
          <w:sz w:val="17"/>
          <w:szCs w:val="17"/>
        </w:rPr>
        <w:t xml:space="preserve"> </w:t>
      </w:r>
      <w:r w:rsidRPr="006E2E62">
        <w:rPr>
          <w:rFonts w:asciiTheme="minorHAnsi" w:hAnsiTheme="minorHAnsi" w:cstheme="minorHAnsi"/>
          <w:bCs/>
          <w:sz w:val="17"/>
          <w:szCs w:val="17"/>
        </w:rPr>
        <w:t>cumplimiento de las obligaciones establecidas en la Ley de Disciplina Financiera de las Entidades Federativas y los Municipios (</w:t>
      </w:r>
      <w:proofErr w:type="spellStart"/>
      <w:r w:rsidRPr="006E2E62">
        <w:rPr>
          <w:rFonts w:asciiTheme="minorHAnsi" w:hAnsiTheme="minorHAnsi" w:cstheme="minorHAnsi"/>
          <w:bCs/>
          <w:sz w:val="17"/>
          <w:szCs w:val="17"/>
        </w:rPr>
        <w:t>LDF</w:t>
      </w:r>
      <w:proofErr w:type="spellEnd"/>
      <w:r w:rsidRPr="006E2E62">
        <w:rPr>
          <w:rFonts w:asciiTheme="minorHAnsi" w:hAnsiTheme="minorHAnsi" w:cstheme="minorHAnsi"/>
          <w:bCs/>
          <w:sz w:val="17"/>
          <w:szCs w:val="17"/>
        </w:rPr>
        <w:t>).</w:t>
      </w:r>
    </w:p>
    <w:p w14:paraId="5241E7D3" w14:textId="77777777" w:rsidR="00AB2A19" w:rsidRPr="001045B7" w:rsidRDefault="00AB2A19" w:rsidP="00AB2A19">
      <w:pPr>
        <w:spacing w:line="276" w:lineRule="auto"/>
        <w:jc w:val="both"/>
        <w:rPr>
          <w:rFonts w:asciiTheme="minorHAnsi" w:hAnsiTheme="minorHAnsi" w:cstheme="minorHAnsi"/>
          <w:b/>
          <w:sz w:val="17"/>
          <w:szCs w:val="17"/>
        </w:rPr>
      </w:pPr>
    </w:p>
    <w:p w14:paraId="56DB28DE" w14:textId="1D6AF34A" w:rsidR="007573F6" w:rsidRPr="001045B7" w:rsidRDefault="005738F6" w:rsidP="00A7078C">
      <w:pPr>
        <w:spacing w:line="276" w:lineRule="auto"/>
        <w:jc w:val="both"/>
        <w:rPr>
          <w:rFonts w:asciiTheme="minorHAnsi" w:hAnsiTheme="minorHAnsi" w:cstheme="minorHAnsi"/>
          <w:sz w:val="17"/>
          <w:szCs w:val="17"/>
        </w:rPr>
      </w:pPr>
      <w:r>
        <w:rPr>
          <w:rFonts w:asciiTheme="minorHAnsi" w:hAnsiTheme="minorHAnsi" w:cstheme="minorHAnsi"/>
          <w:sz w:val="17"/>
          <w:szCs w:val="17"/>
        </w:rPr>
        <w:t>De igual forma e</w:t>
      </w:r>
      <w:r w:rsidR="0082578B">
        <w:rPr>
          <w:rFonts w:asciiTheme="minorHAnsi" w:hAnsiTheme="minorHAnsi" w:cstheme="minorHAnsi"/>
          <w:sz w:val="17"/>
          <w:szCs w:val="17"/>
        </w:rPr>
        <w:t xml:space="preserve">l pasado 15 de noviembre, </w:t>
      </w:r>
      <w:r w:rsidR="007573F6" w:rsidRPr="001045B7">
        <w:rPr>
          <w:rFonts w:asciiTheme="minorHAnsi" w:hAnsiTheme="minorHAnsi" w:cstheme="minorHAnsi"/>
          <w:sz w:val="17"/>
          <w:szCs w:val="17"/>
        </w:rPr>
        <w:t xml:space="preserve">Moody’s </w:t>
      </w:r>
      <w:proofErr w:type="spellStart"/>
      <w:r w:rsidR="007573F6" w:rsidRPr="001045B7">
        <w:rPr>
          <w:rFonts w:asciiTheme="minorHAnsi" w:hAnsiTheme="minorHAnsi" w:cstheme="minorHAnsi"/>
          <w:sz w:val="17"/>
          <w:szCs w:val="17"/>
        </w:rPr>
        <w:t>Raitings</w:t>
      </w:r>
      <w:proofErr w:type="spellEnd"/>
      <w:r w:rsidR="007573F6" w:rsidRPr="001045B7">
        <w:rPr>
          <w:rFonts w:asciiTheme="minorHAnsi" w:hAnsiTheme="minorHAnsi" w:cstheme="minorHAnsi"/>
          <w:sz w:val="17"/>
          <w:szCs w:val="17"/>
        </w:rPr>
        <w:t xml:space="preserve"> ha confirmado la calificación de emisor </w:t>
      </w:r>
      <w:proofErr w:type="spellStart"/>
      <w:r w:rsidR="007573F6" w:rsidRPr="001045B7">
        <w:rPr>
          <w:rFonts w:asciiTheme="minorHAnsi" w:hAnsiTheme="minorHAnsi" w:cstheme="minorHAnsi"/>
          <w:sz w:val="17"/>
          <w:szCs w:val="17"/>
        </w:rPr>
        <w:t>Baa2</w:t>
      </w:r>
      <w:proofErr w:type="spellEnd"/>
      <w:r w:rsidR="007573F6" w:rsidRPr="001045B7">
        <w:rPr>
          <w:rFonts w:asciiTheme="minorHAnsi" w:hAnsiTheme="minorHAnsi" w:cstheme="minorHAnsi"/>
          <w:sz w:val="17"/>
          <w:szCs w:val="17"/>
        </w:rPr>
        <w:t xml:space="preserve"> y el crédito base </w:t>
      </w:r>
      <w:proofErr w:type="spellStart"/>
      <w:r w:rsidR="007573F6" w:rsidRPr="001045B7">
        <w:rPr>
          <w:rFonts w:asciiTheme="minorHAnsi" w:hAnsiTheme="minorHAnsi" w:cstheme="minorHAnsi"/>
          <w:sz w:val="17"/>
          <w:szCs w:val="17"/>
        </w:rPr>
        <w:t>Baa2</w:t>
      </w:r>
      <w:proofErr w:type="spellEnd"/>
      <w:r w:rsidR="007573F6" w:rsidRPr="001045B7">
        <w:rPr>
          <w:rFonts w:asciiTheme="minorHAnsi" w:hAnsiTheme="minorHAnsi" w:cstheme="minorHAnsi"/>
          <w:sz w:val="17"/>
          <w:szCs w:val="17"/>
        </w:rPr>
        <w:t xml:space="preserve"> (</w:t>
      </w:r>
      <w:proofErr w:type="spellStart"/>
      <w:r w:rsidR="007573F6" w:rsidRPr="001045B7">
        <w:rPr>
          <w:rFonts w:asciiTheme="minorHAnsi" w:hAnsiTheme="minorHAnsi" w:cstheme="minorHAnsi"/>
          <w:sz w:val="17"/>
          <w:szCs w:val="17"/>
        </w:rPr>
        <w:t>BCA</w:t>
      </w:r>
      <w:proofErr w:type="spellEnd"/>
      <w:r w:rsidR="007573F6" w:rsidRPr="001045B7">
        <w:rPr>
          <w:rFonts w:asciiTheme="minorHAnsi" w:hAnsiTheme="minorHAnsi" w:cstheme="minorHAnsi"/>
          <w:sz w:val="17"/>
          <w:szCs w:val="17"/>
        </w:rPr>
        <w:t>) del Estado de Querétaro. La perspectiva cambió a negativa desde estable.</w:t>
      </w:r>
    </w:p>
    <w:p w14:paraId="297BE042" w14:textId="77777777" w:rsidR="007573F6" w:rsidRPr="001045B7" w:rsidRDefault="007573F6" w:rsidP="00A7078C">
      <w:pPr>
        <w:spacing w:line="276" w:lineRule="auto"/>
        <w:jc w:val="both"/>
        <w:rPr>
          <w:rFonts w:asciiTheme="minorHAnsi" w:hAnsiTheme="minorHAnsi" w:cstheme="minorHAnsi"/>
          <w:sz w:val="17"/>
          <w:szCs w:val="17"/>
        </w:rPr>
      </w:pPr>
    </w:p>
    <w:p w14:paraId="0509DBA7" w14:textId="77777777" w:rsidR="005311D1" w:rsidRDefault="005311D1" w:rsidP="00A7078C">
      <w:pPr>
        <w:spacing w:line="276" w:lineRule="auto"/>
        <w:jc w:val="both"/>
        <w:rPr>
          <w:rFonts w:asciiTheme="minorHAnsi" w:hAnsiTheme="minorHAnsi" w:cstheme="minorHAnsi"/>
          <w:sz w:val="17"/>
          <w:szCs w:val="17"/>
        </w:rPr>
      </w:pPr>
    </w:p>
    <w:p w14:paraId="75039BEE" w14:textId="1BBB8C80" w:rsidR="007573F6" w:rsidRPr="001045B7" w:rsidRDefault="005311D1" w:rsidP="00A7078C">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Justificación de las calificaciones</w:t>
      </w:r>
    </w:p>
    <w:p w14:paraId="1C659FA9" w14:textId="01AACB00" w:rsidR="007573F6" w:rsidRPr="001045B7" w:rsidRDefault="007573F6" w:rsidP="00A7078C">
      <w:pPr>
        <w:spacing w:line="276" w:lineRule="auto"/>
        <w:jc w:val="both"/>
        <w:rPr>
          <w:rFonts w:asciiTheme="minorHAnsi" w:hAnsiTheme="minorHAnsi" w:cstheme="minorHAnsi"/>
          <w:sz w:val="17"/>
          <w:szCs w:val="17"/>
        </w:rPr>
      </w:pPr>
    </w:p>
    <w:p w14:paraId="49995C83" w14:textId="77777777"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Moody's Ratings (Moody's) ha confirmado hoy la calificación de emisor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y el crédito base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BCA</w:t>
      </w:r>
      <w:proofErr w:type="spellEnd"/>
      <w:r w:rsidRPr="001045B7">
        <w:rPr>
          <w:rFonts w:asciiTheme="minorHAnsi" w:hAnsiTheme="minorHAnsi" w:cstheme="minorHAnsi"/>
          <w:sz w:val="17"/>
          <w:szCs w:val="17"/>
        </w:rPr>
        <w:t>) del Estado de Querétaro. La perspectiva cambió a negativa desde estable.</w:t>
      </w:r>
    </w:p>
    <w:p w14:paraId="1B7EF239" w14:textId="328801DD"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JUSTIFICACIÓN DE LAS CALIFICACIONES</w:t>
      </w:r>
    </w:p>
    <w:p w14:paraId="1CC4FC08" w14:textId="77777777" w:rsidR="00C01102" w:rsidRPr="001045B7" w:rsidRDefault="00C01102" w:rsidP="00875F5D">
      <w:pPr>
        <w:spacing w:line="276" w:lineRule="auto"/>
        <w:jc w:val="both"/>
        <w:rPr>
          <w:rFonts w:asciiTheme="minorHAnsi" w:hAnsiTheme="minorHAnsi" w:cstheme="minorHAnsi"/>
          <w:sz w:val="17"/>
          <w:szCs w:val="17"/>
        </w:rPr>
      </w:pPr>
    </w:p>
    <w:p w14:paraId="701F2602" w14:textId="58D6F691"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La acción de hoy fue impulsada por la acción de calificación soberana para el Gobierno de México (México;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negativo) que cambió la perspectiva a negativa desde estable y afirmó la calificación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El cambio de perspectiva de Querétaro refleja la fortaleza económica y los vínculos financieros entre el Soberano y Querétaro, reflejado en la alta dependencia de las transferencias federales, que 81% de los ingresos totales en 2023 y 80% en lo que va del año a septiembre de 2024, a pesar de que Querétaro tiene mayores ingresos de fuente propia que muchos estados mexicanos. La afirmación de la evaluación crediticia de referencia (</w:t>
      </w:r>
      <w:proofErr w:type="spellStart"/>
      <w:r w:rsidRPr="001045B7">
        <w:rPr>
          <w:rFonts w:asciiTheme="minorHAnsi" w:hAnsiTheme="minorHAnsi" w:cstheme="minorHAnsi"/>
          <w:sz w:val="17"/>
          <w:szCs w:val="17"/>
        </w:rPr>
        <w:t>BCA</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de Querétaro, una medida de la calidad crediticia intrínseca del estado, refleja sus bajos niveles de deuda, robusta liquidez, márgenes operativos positivos y sólidas prácticas de gobernanza y gestión. Sin embargo, el crédito El perfil está limitado por los importantes gastos de capital proyectados para 2024 y los próximos años, lo que lleva a déficits de financiación del 5,9% de los ingresos totales en 2024 y del 0,8% en 2025. Como resultado, Querétaro desembolsó deuda adicional en 2024 del monto ya aprobado en 2023. A pesar de ello, los niveles de deuda seguirán siendo bajos, y se espera que la deuda neta directa e indirecta represente 16.7% de los ingresos operativos en 2024, disminuyendo a 10.5% en 2025. Se prevé que la liquidez se mantenga sólida, con efectivo y efectivo equivalentes que cubran 4,4 veces el pasivo corriente a finales de 2024 y 3,2 veces a finales de 2025.</w:t>
      </w:r>
    </w:p>
    <w:p w14:paraId="49BE0E5A" w14:textId="77777777" w:rsidR="009A1546" w:rsidRPr="001045B7" w:rsidRDefault="009A1546" w:rsidP="00875F5D">
      <w:pPr>
        <w:spacing w:line="276" w:lineRule="auto"/>
        <w:jc w:val="both"/>
        <w:rPr>
          <w:rFonts w:asciiTheme="minorHAnsi" w:hAnsiTheme="minorHAnsi" w:cstheme="minorHAnsi"/>
          <w:sz w:val="17"/>
          <w:szCs w:val="17"/>
        </w:rPr>
      </w:pPr>
    </w:p>
    <w:p w14:paraId="7602087E" w14:textId="0DBCECB7"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El Estado carece de una pensión formal y las pensiones siguen siendo una contingencia, a pesar de las iniciativas adoptadas para financiar los pasivos conexos. La calificación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de Querétaro refleja la combinación de su perfil crediticio independiente, reflejado en su </w:t>
      </w:r>
      <w:proofErr w:type="spellStart"/>
      <w:r w:rsidRPr="001045B7">
        <w:rPr>
          <w:rFonts w:asciiTheme="minorHAnsi" w:hAnsiTheme="minorHAnsi" w:cstheme="minorHAnsi"/>
          <w:sz w:val="17"/>
          <w:szCs w:val="17"/>
        </w:rPr>
        <w:t>BCA</w:t>
      </w:r>
      <w:proofErr w:type="spellEnd"/>
      <w:r w:rsidRPr="001045B7">
        <w:rPr>
          <w:rFonts w:asciiTheme="minorHAnsi" w:hAnsiTheme="minorHAnsi" w:cstheme="minorHAnsi"/>
          <w:sz w:val="17"/>
          <w:szCs w:val="17"/>
        </w:rPr>
        <w:t xml:space="preserve"> de </w:t>
      </w:r>
      <w:proofErr w:type="spellStart"/>
      <w:r w:rsidRPr="001045B7">
        <w:rPr>
          <w:rFonts w:asciiTheme="minorHAnsi" w:hAnsiTheme="minorHAnsi" w:cstheme="minorHAnsi"/>
          <w:sz w:val="17"/>
          <w:szCs w:val="17"/>
        </w:rPr>
        <w:t>baa2</w:t>
      </w:r>
      <w:proofErr w:type="spellEnd"/>
      <w:r w:rsidRPr="001045B7">
        <w:rPr>
          <w:rFonts w:asciiTheme="minorHAnsi" w:hAnsiTheme="minorHAnsi" w:cstheme="minorHAnsi"/>
          <w:sz w:val="17"/>
          <w:szCs w:val="17"/>
        </w:rPr>
        <w:t xml:space="preserve">, y nuestra suposición de baja probabilidad de apoyo extraordinario por parte del gobierno mexicano en caso de que la entidad enfrente tensiones agudas de liquidez </w:t>
      </w:r>
      <w:proofErr w:type="spellStart"/>
      <w:r w:rsidRPr="001045B7">
        <w:rPr>
          <w:rFonts w:asciiTheme="minorHAnsi" w:hAnsiTheme="minorHAnsi" w:cstheme="minorHAnsi"/>
          <w:sz w:val="17"/>
          <w:szCs w:val="17"/>
        </w:rPr>
        <w:t>y</w:t>
      </w:r>
      <w:proofErr w:type="spellEnd"/>
      <w:r w:rsidRPr="001045B7">
        <w:rPr>
          <w:rFonts w:asciiTheme="minorHAnsi" w:hAnsiTheme="minorHAnsi" w:cstheme="minorHAnsi"/>
          <w:sz w:val="17"/>
          <w:szCs w:val="17"/>
        </w:rPr>
        <w:t xml:space="preserve"> Hipótesis de dependencia por defecto muy elevada.</w:t>
      </w:r>
    </w:p>
    <w:p w14:paraId="23D1D1D8" w14:textId="77777777" w:rsidR="00861388" w:rsidRPr="001045B7" w:rsidRDefault="00861388" w:rsidP="00875F5D">
      <w:pPr>
        <w:spacing w:line="276" w:lineRule="auto"/>
        <w:jc w:val="both"/>
        <w:rPr>
          <w:rFonts w:asciiTheme="minorHAnsi" w:hAnsiTheme="minorHAnsi" w:cstheme="minorHAnsi"/>
          <w:sz w:val="17"/>
          <w:szCs w:val="17"/>
        </w:rPr>
      </w:pPr>
    </w:p>
    <w:p w14:paraId="2CC2C047" w14:textId="77777777" w:rsidR="005311D1" w:rsidRDefault="005311D1" w:rsidP="00875F5D">
      <w:pPr>
        <w:spacing w:line="276" w:lineRule="auto"/>
        <w:jc w:val="both"/>
        <w:rPr>
          <w:rFonts w:asciiTheme="minorHAnsi" w:hAnsiTheme="minorHAnsi" w:cstheme="minorHAnsi"/>
          <w:sz w:val="17"/>
          <w:szCs w:val="17"/>
        </w:rPr>
      </w:pPr>
    </w:p>
    <w:p w14:paraId="470CCE06" w14:textId="1B3A75B7" w:rsidR="00875F5D" w:rsidRPr="001045B7" w:rsidRDefault="005311D1"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Consideraciones ambientales, sociales y de gobernanza</w:t>
      </w:r>
    </w:p>
    <w:p w14:paraId="22A74A00" w14:textId="77777777" w:rsidR="00861388" w:rsidRPr="001045B7" w:rsidRDefault="00861388" w:rsidP="00875F5D">
      <w:pPr>
        <w:spacing w:line="276" w:lineRule="auto"/>
        <w:jc w:val="both"/>
        <w:rPr>
          <w:rFonts w:asciiTheme="minorHAnsi" w:hAnsiTheme="minorHAnsi" w:cstheme="minorHAnsi"/>
          <w:sz w:val="17"/>
          <w:szCs w:val="17"/>
        </w:rPr>
      </w:pPr>
    </w:p>
    <w:p w14:paraId="08A5D254" w14:textId="48603E52"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El Puntaje de Impacto Crediticio de CIS-2 asignado a Querétaro indica que las consideraciones </w:t>
      </w:r>
      <w:proofErr w:type="spellStart"/>
      <w:r w:rsidRPr="001045B7">
        <w:rPr>
          <w:rFonts w:asciiTheme="minorHAnsi" w:hAnsiTheme="minorHAnsi" w:cstheme="minorHAnsi"/>
          <w:sz w:val="17"/>
          <w:szCs w:val="17"/>
        </w:rPr>
        <w:t>ESG</w:t>
      </w:r>
      <w:proofErr w:type="spellEnd"/>
      <w:r w:rsidRPr="001045B7">
        <w:rPr>
          <w:rFonts w:asciiTheme="minorHAnsi" w:hAnsiTheme="minorHAnsi" w:cstheme="minorHAnsi"/>
          <w:sz w:val="17"/>
          <w:szCs w:val="17"/>
        </w:rPr>
        <w:t xml:space="preserve"> no son materiales para la calificación. Querétaro tiene una alta exposición a consideraciones ambientales como se refleja en el Perfil de Emisores Ambientales (I PS) de E-4, pero exposición moderada a consideraciones sociales, tal como se incorpora en el IPS asignado de S-3. La exposición a consideraciones de gobernanza para Querétaro es bajo o G-2, capturando el marco institucional de</w:t>
      </w:r>
      <w:r w:rsidR="00861388" w:rsidRPr="001045B7">
        <w:rPr>
          <w:rFonts w:asciiTheme="minorHAnsi" w:hAnsiTheme="minorHAnsi" w:cstheme="minorHAnsi"/>
          <w:sz w:val="17"/>
          <w:szCs w:val="17"/>
        </w:rPr>
        <w:t xml:space="preserve"> </w:t>
      </w:r>
      <w:r w:rsidRPr="001045B7">
        <w:rPr>
          <w:rFonts w:asciiTheme="minorHAnsi" w:hAnsiTheme="minorHAnsi" w:cstheme="minorHAnsi"/>
          <w:sz w:val="17"/>
          <w:szCs w:val="17"/>
        </w:rPr>
        <w:t xml:space="preserve">México para los </w:t>
      </w:r>
      <w:proofErr w:type="spellStart"/>
      <w:r w:rsidRPr="001045B7">
        <w:rPr>
          <w:rFonts w:asciiTheme="minorHAnsi" w:hAnsiTheme="minorHAnsi" w:cstheme="minorHAnsi"/>
          <w:sz w:val="17"/>
          <w:szCs w:val="17"/>
        </w:rPr>
        <w:t>RLG</w:t>
      </w:r>
      <w:proofErr w:type="spellEnd"/>
      <w:r w:rsidRPr="001045B7">
        <w:rPr>
          <w:rFonts w:asciiTheme="minorHAnsi" w:hAnsiTheme="minorHAnsi" w:cstheme="minorHAnsi"/>
          <w:sz w:val="17"/>
          <w:szCs w:val="17"/>
        </w:rPr>
        <w:t xml:space="preserve"> bajo el cual la adquisición de deuda es limitada y Las sólidas prácticas de gestión de Querétaro.</w:t>
      </w:r>
    </w:p>
    <w:p w14:paraId="50CCA2CC" w14:textId="565FF6CB" w:rsidR="00861388" w:rsidRDefault="00861388" w:rsidP="00875F5D">
      <w:pPr>
        <w:spacing w:line="276" w:lineRule="auto"/>
        <w:jc w:val="both"/>
        <w:rPr>
          <w:rFonts w:asciiTheme="minorHAnsi" w:hAnsiTheme="minorHAnsi" w:cstheme="minorHAnsi"/>
          <w:sz w:val="17"/>
          <w:szCs w:val="17"/>
        </w:rPr>
      </w:pPr>
    </w:p>
    <w:p w14:paraId="3A8BAB61" w14:textId="77777777" w:rsidR="005311D1" w:rsidRPr="001045B7" w:rsidRDefault="005311D1" w:rsidP="00875F5D">
      <w:pPr>
        <w:spacing w:line="276" w:lineRule="auto"/>
        <w:jc w:val="both"/>
        <w:rPr>
          <w:rFonts w:asciiTheme="minorHAnsi" w:hAnsiTheme="minorHAnsi" w:cstheme="minorHAnsi"/>
          <w:sz w:val="17"/>
          <w:szCs w:val="17"/>
        </w:rPr>
      </w:pPr>
    </w:p>
    <w:p w14:paraId="5C8287ED" w14:textId="56E2D05A" w:rsidR="00875F5D" w:rsidRPr="001045B7" w:rsidRDefault="005311D1"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Factores que podrían llevar a una mejora o degradación de las calificaciones</w:t>
      </w:r>
    </w:p>
    <w:p w14:paraId="51E4217F" w14:textId="77777777" w:rsidR="00861388" w:rsidRPr="001045B7" w:rsidRDefault="00861388" w:rsidP="00875F5D">
      <w:pPr>
        <w:spacing w:line="276" w:lineRule="auto"/>
        <w:jc w:val="both"/>
        <w:rPr>
          <w:rFonts w:asciiTheme="minorHAnsi" w:hAnsiTheme="minorHAnsi" w:cstheme="minorHAnsi"/>
          <w:sz w:val="17"/>
          <w:szCs w:val="17"/>
        </w:rPr>
      </w:pPr>
    </w:p>
    <w:p w14:paraId="16A57DC5" w14:textId="558E5F20" w:rsidR="00875F5D" w:rsidRPr="001045B7" w:rsidRDefault="00875F5D" w:rsidP="00875F5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Aunque es poco probable que se produzca una mejora de la calificación en un futuro próximo, las perspectivas podrían cambiarse a estable si las perspectivas sobre el mercado mexicano.</w:t>
      </w:r>
    </w:p>
    <w:p w14:paraId="2F44DD81" w14:textId="77777777" w:rsidR="009A51D2" w:rsidRPr="001045B7" w:rsidRDefault="009A51D2" w:rsidP="00875F5D">
      <w:pPr>
        <w:spacing w:line="276" w:lineRule="auto"/>
        <w:jc w:val="both"/>
        <w:rPr>
          <w:rFonts w:asciiTheme="minorHAnsi" w:hAnsiTheme="minorHAnsi" w:cstheme="minorHAnsi"/>
          <w:sz w:val="17"/>
          <w:szCs w:val="17"/>
        </w:rPr>
      </w:pPr>
    </w:p>
    <w:p w14:paraId="587F0CE5" w14:textId="4E31348B" w:rsidR="00E54130" w:rsidRDefault="00875F5D"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calificación del gobierno cambia a estable y el estado mantiene una sólida posición de liquidez, junto con niveles de deuda moderados y una Balance bruto de explotación positivo sostenido. Una rebaja en las calificaciones de México ejercería presión a la baja sobre la calificación del Estado de Querétaro. Un cambio significativo en la política financiera del Estado que debilite el saldo operativo, lo que se traducirá en un aumento significativo de la deuda o en el deterioro de su liquidez, también podría ejercer una presión negativa sobre la calificación. La principal metodología utilizada en estas calificaciones fue la de Gobiernos Regionales y Locales, publicada en mayo de 202</w:t>
      </w:r>
      <w:r w:rsidR="00B9645B" w:rsidRPr="001045B7">
        <w:rPr>
          <w:rFonts w:asciiTheme="minorHAnsi" w:hAnsiTheme="minorHAnsi" w:cstheme="minorHAnsi"/>
          <w:sz w:val="17"/>
          <w:szCs w:val="17"/>
        </w:rPr>
        <w:t>4</w:t>
      </w:r>
      <w:r w:rsidRPr="001045B7">
        <w:rPr>
          <w:rFonts w:asciiTheme="minorHAnsi" w:hAnsiTheme="minorHAnsi" w:cstheme="minorHAnsi"/>
          <w:sz w:val="17"/>
          <w:szCs w:val="17"/>
        </w:rPr>
        <w:t>.</w:t>
      </w:r>
    </w:p>
    <w:p w14:paraId="50B9A0F2" w14:textId="4657329E" w:rsidR="00AB2A19" w:rsidRDefault="00AB2A19" w:rsidP="00860054">
      <w:pPr>
        <w:spacing w:line="276" w:lineRule="auto"/>
        <w:jc w:val="both"/>
        <w:rPr>
          <w:rFonts w:asciiTheme="minorHAnsi" w:hAnsiTheme="minorHAnsi" w:cstheme="minorHAnsi"/>
          <w:sz w:val="17"/>
          <w:szCs w:val="17"/>
        </w:rPr>
      </w:pPr>
    </w:p>
    <w:p w14:paraId="1A3DB489" w14:textId="4C43BD24" w:rsidR="005311D1" w:rsidRDefault="005311D1" w:rsidP="00860054">
      <w:pPr>
        <w:spacing w:line="276" w:lineRule="auto"/>
        <w:jc w:val="both"/>
        <w:rPr>
          <w:rFonts w:asciiTheme="minorHAnsi" w:hAnsiTheme="minorHAnsi" w:cstheme="minorHAnsi"/>
          <w:sz w:val="17"/>
          <w:szCs w:val="17"/>
        </w:rPr>
      </w:pPr>
    </w:p>
    <w:p w14:paraId="5DBBF1F5" w14:textId="0E3E22B7" w:rsidR="005311D1" w:rsidRDefault="005311D1" w:rsidP="00860054">
      <w:pPr>
        <w:spacing w:line="276" w:lineRule="auto"/>
        <w:jc w:val="both"/>
        <w:rPr>
          <w:rFonts w:asciiTheme="minorHAnsi" w:hAnsiTheme="minorHAnsi" w:cstheme="minorHAnsi"/>
          <w:sz w:val="17"/>
          <w:szCs w:val="17"/>
        </w:rPr>
      </w:pPr>
    </w:p>
    <w:p w14:paraId="00C690BD" w14:textId="5CAB565C" w:rsidR="005311D1" w:rsidRDefault="005311D1" w:rsidP="00860054">
      <w:pPr>
        <w:spacing w:line="276" w:lineRule="auto"/>
        <w:jc w:val="both"/>
        <w:rPr>
          <w:rFonts w:asciiTheme="minorHAnsi" w:hAnsiTheme="minorHAnsi" w:cstheme="minorHAnsi"/>
          <w:sz w:val="17"/>
          <w:szCs w:val="17"/>
        </w:rPr>
      </w:pPr>
    </w:p>
    <w:p w14:paraId="341CEE00" w14:textId="77777777" w:rsidR="005311D1" w:rsidRDefault="005311D1" w:rsidP="00860054">
      <w:pPr>
        <w:spacing w:line="276" w:lineRule="auto"/>
        <w:jc w:val="both"/>
        <w:rPr>
          <w:rFonts w:asciiTheme="minorHAnsi" w:hAnsiTheme="minorHAnsi" w:cstheme="minorHAnsi"/>
          <w:sz w:val="17"/>
          <w:szCs w:val="17"/>
        </w:rPr>
      </w:pPr>
    </w:p>
    <w:p w14:paraId="1D1E9EB6" w14:textId="77777777" w:rsidR="00E54130" w:rsidRPr="001045B7" w:rsidRDefault="00E54130" w:rsidP="00860054">
      <w:pPr>
        <w:pStyle w:val="Prrafodelista"/>
        <w:numPr>
          <w:ilvl w:val="0"/>
          <w:numId w:val="28"/>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Opinión Crediticia emitida por Fitch Ratings:</w:t>
      </w:r>
    </w:p>
    <w:p w14:paraId="3ABB66B6" w14:textId="77777777" w:rsidR="00E54130" w:rsidRPr="001045B7" w:rsidRDefault="00E54130" w:rsidP="00860054">
      <w:pPr>
        <w:spacing w:line="276" w:lineRule="auto"/>
        <w:jc w:val="both"/>
        <w:rPr>
          <w:rFonts w:asciiTheme="minorHAnsi" w:hAnsiTheme="minorHAnsi" w:cstheme="minorHAnsi"/>
          <w:sz w:val="17"/>
          <w:szCs w:val="17"/>
        </w:rPr>
      </w:pPr>
    </w:p>
    <w:p w14:paraId="6B53A545" w14:textId="421AE8A1" w:rsidR="00350FF5" w:rsidRPr="001045B7" w:rsidRDefault="00567890" w:rsidP="00567890">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Fitch Ratings - Monterrey - 08 </w:t>
      </w:r>
      <w:proofErr w:type="spellStart"/>
      <w:r w:rsidRPr="001045B7">
        <w:rPr>
          <w:rFonts w:asciiTheme="minorHAnsi" w:hAnsiTheme="minorHAnsi" w:cstheme="minorHAnsi"/>
          <w:sz w:val="17"/>
          <w:szCs w:val="17"/>
        </w:rPr>
        <w:t>Aug</w:t>
      </w:r>
      <w:proofErr w:type="spellEnd"/>
      <w:r w:rsidRPr="001045B7">
        <w:rPr>
          <w:rFonts w:asciiTheme="minorHAnsi" w:hAnsiTheme="minorHAnsi" w:cstheme="minorHAnsi"/>
          <w:sz w:val="17"/>
          <w:szCs w:val="17"/>
        </w:rPr>
        <w:t xml:space="preserve"> 2024: Fitch Ratings afirmó la calificación internacional de riesgo emisor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issuer</w:t>
      </w:r>
      <w:proofErr w:type="spellEnd"/>
      <w:r w:rsidRPr="001045B7">
        <w:rPr>
          <w:rFonts w:asciiTheme="minorHAnsi" w:hAnsiTheme="minorHAnsi" w:cstheme="minorHAnsi"/>
          <w:sz w:val="17"/>
          <w:szCs w:val="17"/>
        </w:rPr>
        <w:t xml:space="preserve"> default rating) en moneda local a largo plazo del Estado de Querétaro (Querétaro o el Estado) en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y la calificación nacional de largo plazo en ‘</w:t>
      </w:r>
      <w:proofErr w:type="spellStart"/>
      <w:r w:rsidRPr="001045B7">
        <w:rPr>
          <w:rFonts w:asciiTheme="minorHAnsi" w:hAnsiTheme="minorHAnsi" w:cstheme="minorHAnsi"/>
          <w:sz w:val="17"/>
          <w:szCs w:val="17"/>
        </w:rPr>
        <w:t>AAA</w:t>
      </w:r>
      <w:proofErr w:type="spellEnd"/>
      <w:r w:rsidRPr="001045B7">
        <w:rPr>
          <w:rFonts w:asciiTheme="minorHAnsi" w:hAnsiTheme="minorHAnsi" w:cstheme="minorHAnsi"/>
          <w:sz w:val="17"/>
          <w:szCs w:val="17"/>
        </w:rPr>
        <w:t>(</w:t>
      </w:r>
      <w:proofErr w:type="spellStart"/>
      <w:r w:rsidRPr="001045B7">
        <w:rPr>
          <w:rFonts w:asciiTheme="minorHAnsi" w:hAnsiTheme="minorHAnsi" w:cstheme="minorHAnsi"/>
          <w:sz w:val="17"/>
          <w:szCs w:val="17"/>
        </w:rPr>
        <w:t>mex</w:t>
      </w:r>
      <w:proofErr w:type="spellEnd"/>
      <w:r w:rsidRPr="001045B7">
        <w:rPr>
          <w:rFonts w:asciiTheme="minorHAnsi" w:hAnsiTheme="minorHAnsi" w:cstheme="minorHAnsi"/>
          <w:sz w:val="17"/>
          <w:szCs w:val="17"/>
        </w:rPr>
        <w:t xml:space="preserve">)’. La Perspectiva de calificación para ambas calificaciones se mantiene Estable. Aunque el perfil crediticio individual (PCI) de Querétaro se evalúa en ‘a+’, su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está limitada por la calificación soberana de México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Perspectiva Estable] debido al punto de vista de Fitch de que las entidades subnacionales mexicanas no pueden tener una calificación superior a la soberana. Estas calificaciones reflejan la expectativa de Fitch de que las métricas de deuda de Querétaro seguirán robustas durante el horizonte de calificación (2024-2028), incluso después de considerar la contratación de deuda adicional para proyectos de movilidad y obras sociales. En los últimos cinco años el estado muestra una posición sólida de liquidez, una dinámica favorable de ingresos operativos, niveles altos de efectivo no restringido y políticas sólidas de control de deuda.</w:t>
      </w:r>
      <w:r w:rsidRPr="001045B7">
        <w:rPr>
          <w:rFonts w:asciiTheme="minorHAnsi" w:hAnsiTheme="minorHAnsi" w:cstheme="minorHAnsi"/>
          <w:sz w:val="17"/>
          <w:szCs w:val="17"/>
        </w:rPr>
        <w:cr/>
      </w:r>
    </w:p>
    <w:p w14:paraId="021E9CD6" w14:textId="124139D0" w:rsidR="00E54130" w:rsidRPr="001045B7" w:rsidRDefault="00E54130" w:rsidP="00860054">
      <w:pPr>
        <w:spacing w:line="276" w:lineRule="auto"/>
        <w:ind w:firstLine="708"/>
        <w:jc w:val="both"/>
        <w:rPr>
          <w:rFonts w:asciiTheme="minorHAnsi" w:hAnsiTheme="minorHAnsi" w:cstheme="minorHAnsi"/>
          <w:sz w:val="17"/>
          <w:szCs w:val="17"/>
        </w:rPr>
      </w:pPr>
      <w:r w:rsidRPr="001045B7">
        <w:rPr>
          <w:rFonts w:asciiTheme="minorHAnsi" w:hAnsiTheme="minorHAnsi" w:cstheme="minorHAnsi"/>
          <w:sz w:val="17"/>
          <w:szCs w:val="17"/>
        </w:rPr>
        <w:t>Perfil del Emisor</w:t>
      </w:r>
    </w:p>
    <w:p w14:paraId="6B736DEB" w14:textId="77777777" w:rsidR="00E54130" w:rsidRPr="001045B7" w:rsidRDefault="00E54130" w:rsidP="00860054">
      <w:pPr>
        <w:spacing w:line="276" w:lineRule="auto"/>
        <w:jc w:val="both"/>
        <w:rPr>
          <w:rFonts w:asciiTheme="minorHAnsi" w:hAnsiTheme="minorHAnsi" w:cstheme="minorHAnsi"/>
          <w:sz w:val="17"/>
          <w:szCs w:val="17"/>
        </w:rPr>
      </w:pPr>
    </w:p>
    <w:p w14:paraId="6BAF8F8D" w14:textId="14F94F64" w:rsidR="002009D5" w:rsidRPr="001045B7" w:rsidRDefault="00567890" w:rsidP="00567890">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Querétaro está ubicado en el centro-norte de México, en una región conocida como El Bajío, que se destaca por su dinamismo altamente orientado a la industria. El estado alberga alrededor de 95,854 unidades económicas y cuenta con 49 parques industriales, los cuales se concentran en cinco de sus 18 municipios. Reconocido como un centro global para centros de datos, Querétaro atrae consistentemente inversiones tecnológicas de empresas como </w:t>
      </w:r>
      <w:proofErr w:type="spellStart"/>
      <w:r w:rsidRPr="001045B7">
        <w:rPr>
          <w:rFonts w:asciiTheme="minorHAnsi" w:hAnsiTheme="minorHAnsi" w:cstheme="minorHAnsi"/>
          <w:sz w:val="17"/>
          <w:szCs w:val="17"/>
        </w:rPr>
        <w:t>CloudHQ</w:t>
      </w:r>
      <w:proofErr w:type="spellEnd"/>
      <w:r w:rsidRPr="001045B7">
        <w:rPr>
          <w:rFonts w:asciiTheme="minorHAnsi" w:hAnsiTheme="minorHAnsi" w:cstheme="minorHAnsi"/>
          <w:sz w:val="17"/>
          <w:szCs w:val="17"/>
        </w:rPr>
        <w:t>, AWS, Google Cloud y Microsoft. En 2024, Querétaro se ubica en el tercer lugar entre los estados con el mayor número de empleos generados per cápita. También ocupa el quinto lugar por tener los salarios más altos del país y es el tercer estado con la mayor tasa de formalidad laboral, con una tasa de empleo formal de 62%. Fitch clasifica a Querétaro como una entidad de Tipo B, similar a todos los gobiernos locales y regionales (</w:t>
      </w:r>
      <w:proofErr w:type="spellStart"/>
      <w:r w:rsidRPr="001045B7">
        <w:rPr>
          <w:rFonts w:asciiTheme="minorHAnsi" w:hAnsiTheme="minorHAnsi" w:cstheme="minorHAnsi"/>
          <w:sz w:val="17"/>
          <w:szCs w:val="17"/>
        </w:rPr>
        <w:t>LRG</w:t>
      </w:r>
      <w:proofErr w:type="spellEnd"/>
      <w:r w:rsidRPr="001045B7">
        <w:rPr>
          <w:rFonts w:asciiTheme="minorHAnsi" w:hAnsiTheme="minorHAnsi" w:cstheme="minorHAnsi"/>
          <w:sz w:val="17"/>
          <w:szCs w:val="17"/>
        </w:rPr>
        <w:t xml:space="preserve">; local and regional </w:t>
      </w:r>
      <w:proofErr w:type="spellStart"/>
      <w:r w:rsidRPr="001045B7">
        <w:rPr>
          <w:rFonts w:asciiTheme="minorHAnsi" w:hAnsiTheme="minorHAnsi" w:cstheme="minorHAnsi"/>
          <w:sz w:val="17"/>
          <w:szCs w:val="17"/>
        </w:rPr>
        <w:t>governments</w:t>
      </w:r>
      <w:proofErr w:type="spellEnd"/>
      <w:r w:rsidRPr="001045B7">
        <w:rPr>
          <w:rFonts w:asciiTheme="minorHAnsi" w:hAnsiTheme="minorHAnsi" w:cstheme="minorHAnsi"/>
          <w:sz w:val="17"/>
          <w:szCs w:val="17"/>
        </w:rPr>
        <w:t>) de México, debido a sus requisitos para cubrir el servicio de la deuda con flujo de e</w:t>
      </w:r>
      <w:r w:rsidR="002009D5" w:rsidRPr="001045B7">
        <w:rPr>
          <w:rFonts w:asciiTheme="minorHAnsi" w:hAnsiTheme="minorHAnsi" w:cstheme="minorHAnsi"/>
          <w:sz w:val="17"/>
          <w:szCs w:val="17"/>
        </w:rPr>
        <w:t>fectivo de forma anual.</w:t>
      </w:r>
    </w:p>
    <w:p w14:paraId="7F88DE01" w14:textId="77777777" w:rsidR="002009D5" w:rsidRPr="001045B7" w:rsidRDefault="002009D5" w:rsidP="00567890">
      <w:pPr>
        <w:spacing w:line="276" w:lineRule="auto"/>
        <w:jc w:val="both"/>
        <w:rPr>
          <w:rFonts w:asciiTheme="minorHAnsi" w:hAnsiTheme="minorHAnsi" w:cstheme="minorHAnsi"/>
          <w:sz w:val="17"/>
          <w:szCs w:val="17"/>
        </w:rPr>
      </w:pPr>
    </w:p>
    <w:p w14:paraId="0361C0F2" w14:textId="331C7333" w:rsidR="00E54130" w:rsidRPr="001045B7" w:rsidRDefault="00E54130" w:rsidP="00860054">
      <w:pPr>
        <w:spacing w:line="276" w:lineRule="auto"/>
        <w:ind w:firstLine="708"/>
        <w:jc w:val="both"/>
        <w:rPr>
          <w:rFonts w:asciiTheme="minorHAnsi" w:hAnsiTheme="minorHAnsi" w:cstheme="minorHAnsi"/>
          <w:sz w:val="17"/>
          <w:szCs w:val="17"/>
        </w:rPr>
      </w:pPr>
      <w:r w:rsidRPr="001045B7">
        <w:rPr>
          <w:rFonts w:asciiTheme="minorHAnsi" w:hAnsiTheme="minorHAnsi" w:cstheme="minorHAnsi"/>
          <w:sz w:val="17"/>
          <w:szCs w:val="17"/>
        </w:rPr>
        <w:t>Derivación de Calificación</w:t>
      </w:r>
    </w:p>
    <w:p w14:paraId="5833A781" w14:textId="77777777" w:rsidR="00E54130" w:rsidRPr="001045B7" w:rsidRDefault="00E54130" w:rsidP="00860054">
      <w:pPr>
        <w:spacing w:line="276" w:lineRule="auto"/>
        <w:jc w:val="both"/>
        <w:rPr>
          <w:rFonts w:asciiTheme="minorHAnsi" w:hAnsiTheme="minorHAnsi" w:cstheme="minorHAnsi"/>
          <w:sz w:val="17"/>
          <w:szCs w:val="17"/>
        </w:rPr>
      </w:pPr>
    </w:p>
    <w:p w14:paraId="64FFE991" w14:textId="214602E7" w:rsidR="001325A4" w:rsidRPr="001045B7" w:rsidRDefault="00567890" w:rsidP="00567890">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PCI de ‘a+’ deriva de la combinación entre un perfil de riesgo en ‘Rango Medio Bajo’ y una sostenibilidad de la deuda evaluada en ‘</w:t>
      </w:r>
      <w:proofErr w:type="spellStart"/>
      <w:r w:rsidRPr="001045B7">
        <w:rPr>
          <w:rFonts w:asciiTheme="minorHAnsi" w:hAnsiTheme="minorHAnsi" w:cstheme="minorHAnsi"/>
          <w:sz w:val="17"/>
          <w:szCs w:val="17"/>
        </w:rPr>
        <w:t>aaa</w:t>
      </w:r>
      <w:proofErr w:type="spellEnd"/>
      <w:r w:rsidRPr="001045B7">
        <w:rPr>
          <w:rFonts w:asciiTheme="minorHAnsi" w:hAnsiTheme="minorHAnsi" w:cstheme="minorHAnsi"/>
          <w:sz w:val="17"/>
          <w:szCs w:val="17"/>
        </w:rPr>
        <w:t xml:space="preserve">’. También incorpora la comparación con pares internacionales y nacionales que incluyen a la región de </w:t>
      </w:r>
      <w:proofErr w:type="spellStart"/>
      <w:r w:rsidRPr="001045B7">
        <w:rPr>
          <w:rFonts w:asciiTheme="minorHAnsi" w:hAnsiTheme="minorHAnsi" w:cstheme="minorHAnsi"/>
          <w:sz w:val="17"/>
          <w:szCs w:val="17"/>
        </w:rPr>
        <w:t>Mazowieckie</w:t>
      </w:r>
      <w:proofErr w:type="spellEnd"/>
      <w:r w:rsidRPr="001045B7">
        <w:rPr>
          <w:rFonts w:asciiTheme="minorHAnsi" w:hAnsiTheme="minorHAnsi" w:cstheme="minorHAnsi"/>
          <w:sz w:val="17"/>
          <w:szCs w:val="17"/>
        </w:rPr>
        <w:t xml:space="preserve"> en Polonia y los estados de Aguascalientes y Guanajuato en México. El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 Querétaro está limitado por la calificación soberana de México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xml:space="preserve">- Perspectiva Estable]. De esta forma, el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del estado se evalúa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Por último, la calificación nacional de ‘</w:t>
      </w:r>
      <w:proofErr w:type="spellStart"/>
      <w:r w:rsidRPr="001045B7">
        <w:rPr>
          <w:rFonts w:asciiTheme="minorHAnsi" w:hAnsiTheme="minorHAnsi" w:cstheme="minorHAnsi"/>
          <w:sz w:val="17"/>
          <w:szCs w:val="17"/>
        </w:rPr>
        <w:t>AAA</w:t>
      </w:r>
      <w:proofErr w:type="spellEnd"/>
      <w:r w:rsidRPr="001045B7">
        <w:rPr>
          <w:rFonts w:asciiTheme="minorHAnsi" w:hAnsiTheme="minorHAnsi" w:cstheme="minorHAnsi"/>
          <w:sz w:val="17"/>
          <w:szCs w:val="17"/>
        </w:rPr>
        <w:t>(</w:t>
      </w:r>
      <w:proofErr w:type="spellStart"/>
      <w:r w:rsidRPr="001045B7">
        <w:rPr>
          <w:rFonts w:asciiTheme="minorHAnsi" w:hAnsiTheme="minorHAnsi" w:cstheme="minorHAnsi"/>
          <w:sz w:val="17"/>
          <w:szCs w:val="17"/>
        </w:rPr>
        <w:t>mex</w:t>
      </w:r>
      <w:proofErr w:type="spellEnd"/>
      <w:r w:rsidRPr="001045B7">
        <w:rPr>
          <w:rFonts w:asciiTheme="minorHAnsi" w:hAnsiTheme="minorHAnsi" w:cstheme="minorHAnsi"/>
          <w:sz w:val="17"/>
          <w:szCs w:val="17"/>
        </w:rPr>
        <w:t xml:space="preserve">)’ deriva tanto de la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del estado como del comparativo nacional.</w:t>
      </w:r>
    </w:p>
    <w:p w14:paraId="6F9C8D0B" w14:textId="2715F56D" w:rsidR="00CD4A00" w:rsidRPr="001045B7" w:rsidRDefault="00CD4A00" w:rsidP="002009D5">
      <w:pPr>
        <w:spacing w:line="276" w:lineRule="auto"/>
        <w:jc w:val="both"/>
        <w:rPr>
          <w:rFonts w:asciiTheme="minorHAnsi" w:hAnsiTheme="minorHAnsi" w:cstheme="minorHAnsi"/>
          <w:sz w:val="17"/>
          <w:szCs w:val="17"/>
        </w:rPr>
      </w:pPr>
    </w:p>
    <w:p w14:paraId="3A20AD92" w14:textId="01B09DA6" w:rsidR="00E54130" w:rsidRPr="001045B7" w:rsidRDefault="00E54130" w:rsidP="00162820">
      <w:pPr>
        <w:spacing w:line="276" w:lineRule="auto"/>
        <w:ind w:firstLine="708"/>
        <w:jc w:val="both"/>
        <w:rPr>
          <w:rFonts w:asciiTheme="minorHAnsi" w:hAnsiTheme="minorHAnsi" w:cstheme="minorHAnsi"/>
          <w:sz w:val="17"/>
          <w:szCs w:val="17"/>
        </w:rPr>
      </w:pPr>
      <w:r w:rsidRPr="001045B7">
        <w:rPr>
          <w:rFonts w:asciiTheme="minorHAnsi" w:hAnsiTheme="minorHAnsi" w:cstheme="minorHAnsi"/>
          <w:sz w:val="17"/>
          <w:szCs w:val="17"/>
        </w:rPr>
        <w:t>Sensibilidad de Calificación</w:t>
      </w:r>
    </w:p>
    <w:p w14:paraId="12AF8592" w14:textId="77777777" w:rsidR="00E54130" w:rsidRPr="001045B7" w:rsidRDefault="00E54130" w:rsidP="00860054">
      <w:pPr>
        <w:spacing w:line="276" w:lineRule="auto"/>
        <w:jc w:val="both"/>
        <w:rPr>
          <w:rFonts w:asciiTheme="minorHAnsi" w:hAnsiTheme="minorHAnsi" w:cstheme="minorHAnsi"/>
          <w:sz w:val="17"/>
          <w:szCs w:val="17"/>
        </w:rPr>
      </w:pPr>
    </w:p>
    <w:p w14:paraId="56282D78" w14:textId="3692A52F" w:rsidR="00567890" w:rsidRPr="001045B7" w:rsidRDefault="00567890" w:rsidP="00567890">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Factores que podrían, individual o colectivamente, conducir a una acción de calificación positiva/alza: </w:t>
      </w:r>
    </w:p>
    <w:p w14:paraId="32D7D637" w14:textId="77777777" w:rsidR="00567890" w:rsidRPr="001045B7" w:rsidRDefault="00567890" w:rsidP="00567890">
      <w:pPr>
        <w:spacing w:line="276" w:lineRule="auto"/>
        <w:jc w:val="both"/>
        <w:rPr>
          <w:rFonts w:asciiTheme="minorHAnsi" w:hAnsiTheme="minorHAnsi" w:cstheme="minorHAnsi"/>
          <w:sz w:val="17"/>
          <w:szCs w:val="17"/>
        </w:rPr>
      </w:pPr>
    </w:p>
    <w:p w14:paraId="37142CD8" w14:textId="07FF0BF4" w:rsidR="00567890" w:rsidRPr="001045B7" w:rsidRDefault="00567890" w:rsidP="00567890">
      <w:pPr>
        <w:pStyle w:val="Prrafodelista"/>
        <w:numPr>
          <w:ilvl w:val="1"/>
          <w:numId w:val="28"/>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La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 Querétaro está limitada por la calificación soberana, por lo tanto, una acción de calificación sobre la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 México conduciría a una acción en la misma dirección sobre la calificación de la entidad;</w:t>
      </w:r>
    </w:p>
    <w:p w14:paraId="28FD42CD" w14:textId="74E8CDD4" w:rsidR="00567890" w:rsidRPr="001045B7" w:rsidRDefault="00567890" w:rsidP="00567890">
      <w:pPr>
        <w:pStyle w:val="Prrafodelista"/>
        <w:numPr>
          <w:ilvl w:val="1"/>
          <w:numId w:val="28"/>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calificación nacional de largo plazo del estado está en el nivel más alto, por lo que no es posible una acción de calificación positiva.</w:t>
      </w:r>
    </w:p>
    <w:p w14:paraId="22FB79B0" w14:textId="77777777" w:rsidR="00567890" w:rsidRPr="001045B7" w:rsidRDefault="00567890" w:rsidP="00567890">
      <w:pPr>
        <w:spacing w:line="276" w:lineRule="auto"/>
        <w:jc w:val="both"/>
        <w:rPr>
          <w:rFonts w:asciiTheme="minorHAnsi" w:hAnsiTheme="minorHAnsi" w:cstheme="minorHAnsi"/>
          <w:sz w:val="17"/>
          <w:szCs w:val="17"/>
        </w:rPr>
      </w:pPr>
    </w:p>
    <w:p w14:paraId="58652826" w14:textId="7DF8BA91" w:rsidR="00567890" w:rsidRPr="001045B7" w:rsidRDefault="00567890" w:rsidP="00567890">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Factores que podrían, individual o colectivamente, conducir a una acción de calificación negativa/baja:</w:t>
      </w:r>
    </w:p>
    <w:p w14:paraId="4A1A508D" w14:textId="77777777" w:rsidR="00567890" w:rsidRPr="001045B7" w:rsidRDefault="00567890" w:rsidP="00567890">
      <w:pPr>
        <w:spacing w:line="276" w:lineRule="auto"/>
        <w:jc w:val="both"/>
        <w:rPr>
          <w:rFonts w:asciiTheme="minorHAnsi" w:hAnsiTheme="minorHAnsi" w:cstheme="minorHAnsi"/>
          <w:sz w:val="17"/>
          <w:szCs w:val="17"/>
        </w:rPr>
      </w:pPr>
    </w:p>
    <w:p w14:paraId="4E62967E" w14:textId="77777777" w:rsidR="00567890" w:rsidRPr="001045B7" w:rsidRDefault="00567890" w:rsidP="00567890">
      <w:pPr>
        <w:pStyle w:val="Prrafodelista"/>
        <w:numPr>
          <w:ilvl w:val="1"/>
          <w:numId w:val="28"/>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Una baja en la </w:t>
      </w:r>
      <w:proofErr w:type="spellStart"/>
      <w:r w:rsidRPr="001045B7">
        <w:rPr>
          <w:rFonts w:asciiTheme="minorHAnsi" w:hAnsiTheme="minorHAnsi" w:cstheme="minorHAnsi"/>
          <w:sz w:val="17"/>
          <w:szCs w:val="17"/>
        </w:rPr>
        <w:t>IDR</w:t>
      </w:r>
      <w:proofErr w:type="spellEnd"/>
      <w:r w:rsidRPr="001045B7">
        <w:rPr>
          <w:rFonts w:asciiTheme="minorHAnsi" w:hAnsiTheme="minorHAnsi" w:cstheme="minorHAnsi"/>
          <w:sz w:val="17"/>
          <w:szCs w:val="17"/>
        </w:rPr>
        <w:t xml:space="preserve"> de México correspondería con la misma acción sobre la entidad; </w:t>
      </w:r>
    </w:p>
    <w:p w14:paraId="05C38CB0" w14:textId="7DC79569" w:rsidR="00567890" w:rsidRPr="001045B7" w:rsidRDefault="00567890" w:rsidP="00567890">
      <w:pPr>
        <w:pStyle w:val="Prrafodelista"/>
        <w:numPr>
          <w:ilvl w:val="1"/>
          <w:numId w:val="28"/>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Las calificaciones de Querétaro podrían disminuir si el PCI del estado bajara debido a un deterioro en la sostenibilidad de la deuda a un puntaje en ‘a’, lo cual podría resultar de una razón de repago mayor que </w:t>
      </w:r>
      <w:proofErr w:type="spellStart"/>
      <w:r w:rsidRPr="001045B7">
        <w:rPr>
          <w:rFonts w:asciiTheme="minorHAnsi" w:hAnsiTheme="minorHAnsi" w:cstheme="minorHAnsi"/>
          <w:sz w:val="17"/>
          <w:szCs w:val="17"/>
        </w:rPr>
        <w:t>5.0x</w:t>
      </w:r>
      <w:proofErr w:type="spellEnd"/>
      <w:r w:rsidRPr="001045B7">
        <w:rPr>
          <w:rFonts w:asciiTheme="minorHAnsi" w:hAnsiTheme="minorHAnsi" w:cstheme="minorHAnsi"/>
          <w:sz w:val="17"/>
          <w:szCs w:val="17"/>
        </w:rPr>
        <w:t xml:space="preserve">, en conjunto con coberturas de servicio de deuda menores que </w:t>
      </w:r>
      <w:proofErr w:type="spellStart"/>
      <w:r w:rsidRPr="001045B7">
        <w:rPr>
          <w:rFonts w:asciiTheme="minorHAnsi" w:hAnsiTheme="minorHAnsi" w:cstheme="minorHAnsi"/>
          <w:sz w:val="17"/>
          <w:szCs w:val="17"/>
        </w:rPr>
        <w:t>2.0x</w:t>
      </w:r>
      <w:proofErr w:type="spellEnd"/>
      <w:r w:rsidRPr="001045B7">
        <w:rPr>
          <w:rFonts w:asciiTheme="minorHAnsi" w:hAnsiTheme="minorHAnsi" w:cstheme="minorHAnsi"/>
          <w:sz w:val="17"/>
          <w:szCs w:val="17"/>
        </w:rPr>
        <w:t xml:space="preserve"> y análisis de pares poco favorables.</w:t>
      </w:r>
    </w:p>
    <w:p w14:paraId="6CBBE2BD" w14:textId="794FE2A8" w:rsidR="002009D5" w:rsidRPr="001045B7" w:rsidRDefault="002009D5" w:rsidP="002009D5">
      <w:pPr>
        <w:pStyle w:val="Prrafodelista"/>
        <w:spacing w:line="276" w:lineRule="auto"/>
        <w:jc w:val="both"/>
        <w:rPr>
          <w:rFonts w:asciiTheme="minorHAnsi" w:hAnsiTheme="minorHAnsi" w:cstheme="minorHAnsi"/>
          <w:sz w:val="17"/>
          <w:szCs w:val="17"/>
        </w:rPr>
      </w:pPr>
    </w:p>
    <w:p w14:paraId="76D6355B" w14:textId="54E34E7D" w:rsidR="00567890" w:rsidRDefault="00567890" w:rsidP="00567890">
      <w:pPr>
        <w:spacing w:line="276" w:lineRule="auto"/>
        <w:jc w:val="both"/>
        <w:rPr>
          <w:rFonts w:asciiTheme="minorHAnsi" w:hAnsiTheme="minorHAnsi" w:cstheme="minorHAnsi"/>
          <w:sz w:val="17"/>
          <w:szCs w:val="17"/>
        </w:rPr>
      </w:pPr>
    </w:p>
    <w:p w14:paraId="2F46FF1B" w14:textId="77777777" w:rsidR="005311D1" w:rsidRPr="001045B7" w:rsidRDefault="005311D1" w:rsidP="00567890">
      <w:pPr>
        <w:spacing w:line="276" w:lineRule="auto"/>
        <w:jc w:val="both"/>
        <w:rPr>
          <w:rFonts w:asciiTheme="minorHAnsi" w:hAnsiTheme="minorHAnsi" w:cstheme="minorHAnsi"/>
          <w:sz w:val="17"/>
          <w:szCs w:val="17"/>
        </w:rPr>
      </w:pPr>
    </w:p>
    <w:p w14:paraId="19B3E0B0" w14:textId="5ACC7944" w:rsidR="00E54130" w:rsidRPr="001045B7" w:rsidRDefault="00E54130" w:rsidP="00860054">
      <w:pPr>
        <w:pStyle w:val="Prrafodelista"/>
        <w:numPr>
          <w:ilvl w:val="0"/>
          <w:numId w:val="32"/>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 xml:space="preserve">Opinión Crediticia emitida por Standard &amp; </w:t>
      </w:r>
      <w:proofErr w:type="spellStart"/>
      <w:r w:rsidRPr="001045B7">
        <w:rPr>
          <w:rFonts w:asciiTheme="minorHAnsi" w:hAnsiTheme="minorHAnsi" w:cstheme="minorHAnsi"/>
          <w:b/>
          <w:sz w:val="17"/>
          <w:szCs w:val="17"/>
        </w:rPr>
        <w:t>Poor's</w:t>
      </w:r>
      <w:proofErr w:type="spellEnd"/>
      <w:r w:rsidRPr="001045B7">
        <w:rPr>
          <w:rFonts w:asciiTheme="minorHAnsi" w:hAnsiTheme="minorHAnsi" w:cstheme="minorHAnsi"/>
          <w:b/>
          <w:sz w:val="17"/>
          <w:szCs w:val="17"/>
        </w:rPr>
        <w:t>:</w:t>
      </w:r>
    </w:p>
    <w:p w14:paraId="0D21E2B8" w14:textId="141ED0A8" w:rsidR="00EA603D" w:rsidRPr="001045B7" w:rsidRDefault="00EA603D" w:rsidP="00EA603D">
      <w:pPr>
        <w:pStyle w:val="Prrafodelista"/>
        <w:spacing w:line="276" w:lineRule="auto"/>
        <w:jc w:val="both"/>
        <w:rPr>
          <w:rFonts w:asciiTheme="minorHAnsi" w:hAnsiTheme="minorHAnsi" w:cstheme="minorHAnsi"/>
          <w:b/>
          <w:sz w:val="17"/>
          <w:szCs w:val="17"/>
        </w:rPr>
      </w:pPr>
    </w:p>
    <w:p w14:paraId="16F320E2" w14:textId="439A2CFB" w:rsidR="0082578B" w:rsidRDefault="0082578B" w:rsidP="0082578B">
      <w:pPr>
        <w:spacing w:line="276" w:lineRule="auto"/>
        <w:jc w:val="both"/>
        <w:rPr>
          <w:rFonts w:asciiTheme="minorHAnsi" w:hAnsiTheme="minorHAnsi" w:cstheme="minorHAnsi"/>
          <w:sz w:val="17"/>
          <w:szCs w:val="17"/>
        </w:rPr>
      </w:pPr>
      <w:r w:rsidRPr="00F11636">
        <w:rPr>
          <w:rFonts w:asciiTheme="minorHAnsi" w:hAnsiTheme="minorHAnsi" w:cstheme="minorHAnsi"/>
          <w:sz w:val="17"/>
          <w:szCs w:val="17"/>
        </w:rPr>
        <w:t xml:space="preserve">El 10 de octubre de 2024 Standard &amp; </w:t>
      </w:r>
      <w:proofErr w:type="spellStart"/>
      <w:r w:rsidRPr="00F11636">
        <w:rPr>
          <w:rFonts w:asciiTheme="minorHAnsi" w:hAnsiTheme="minorHAnsi" w:cstheme="minorHAnsi"/>
          <w:sz w:val="17"/>
          <w:szCs w:val="17"/>
        </w:rPr>
        <w:t>Poor´s</w:t>
      </w:r>
      <w:proofErr w:type="spellEnd"/>
      <w:r w:rsidRPr="00F11636">
        <w:rPr>
          <w:rFonts w:asciiTheme="minorHAnsi" w:hAnsiTheme="minorHAnsi" w:cstheme="minorHAnsi"/>
          <w:sz w:val="17"/>
          <w:szCs w:val="17"/>
        </w:rPr>
        <w:t>, emitió los Principales factores de calificación</w:t>
      </w:r>
      <w:r>
        <w:rPr>
          <w:rFonts w:asciiTheme="minorHAnsi" w:hAnsiTheme="minorHAnsi" w:cstheme="minorHAnsi"/>
          <w:sz w:val="17"/>
          <w:szCs w:val="17"/>
        </w:rPr>
        <w:t>:</w:t>
      </w:r>
    </w:p>
    <w:p w14:paraId="66842D34" w14:textId="0CBC7F2A" w:rsidR="008A3D0C" w:rsidRPr="001045B7" w:rsidRDefault="005311D1" w:rsidP="00860054">
      <w:pPr>
        <w:spacing w:line="276" w:lineRule="auto"/>
        <w:jc w:val="both"/>
        <w:rPr>
          <w:rFonts w:asciiTheme="minorHAnsi" w:hAnsiTheme="minorHAnsi" w:cstheme="minorHAnsi"/>
          <w:sz w:val="17"/>
          <w:szCs w:val="17"/>
        </w:rPr>
      </w:pPr>
      <w:r>
        <w:rPr>
          <w:rFonts w:asciiTheme="minorHAnsi" w:hAnsiTheme="minorHAnsi" w:cstheme="minorHAnsi"/>
          <w:noProof/>
          <w:sz w:val="17"/>
          <w:szCs w:val="17"/>
        </w:rPr>
        <w:drawing>
          <wp:anchor distT="0" distB="0" distL="114300" distR="114300" simplePos="0" relativeHeight="251665408" behindDoc="0" locked="0" layoutInCell="1" allowOverlap="1" wp14:anchorId="68B39E5A" wp14:editId="3F7EB0F2">
            <wp:simplePos x="0" y="0"/>
            <wp:positionH relativeFrom="column">
              <wp:posOffset>3475106</wp:posOffset>
            </wp:positionH>
            <wp:positionV relativeFrom="paragraph">
              <wp:posOffset>76780</wp:posOffset>
            </wp:positionV>
            <wp:extent cx="1170305" cy="1329526"/>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9715" b="6104"/>
                    <a:stretch/>
                  </pic:blipFill>
                  <pic:spPr bwMode="auto">
                    <a:xfrm>
                      <a:off x="0" y="0"/>
                      <a:ext cx="1170305" cy="132952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DC5B1F9" w14:textId="79E41E29" w:rsidR="00F32AF0" w:rsidRDefault="00F32AF0" w:rsidP="00860054">
      <w:pPr>
        <w:spacing w:line="276" w:lineRule="auto"/>
        <w:jc w:val="both"/>
        <w:rPr>
          <w:rFonts w:asciiTheme="minorHAnsi" w:hAnsiTheme="minorHAnsi" w:cstheme="minorHAnsi"/>
          <w:sz w:val="17"/>
          <w:szCs w:val="17"/>
        </w:rPr>
      </w:pPr>
    </w:p>
    <w:p w14:paraId="3F6611EA" w14:textId="0E828EEC" w:rsidR="00F32AF0" w:rsidRDefault="00F32AF0" w:rsidP="00860054">
      <w:pPr>
        <w:spacing w:line="276" w:lineRule="auto"/>
        <w:jc w:val="both"/>
        <w:rPr>
          <w:rFonts w:asciiTheme="minorHAnsi" w:hAnsiTheme="minorHAnsi" w:cstheme="minorHAnsi"/>
          <w:sz w:val="17"/>
          <w:szCs w:val="17"/>
        </w:rPr>
      </w:pPr>
    </w:p>
    <w:p w14:paraId="0EC76A8C" w14:textId="77777777" w:rsidR="002B0FE5" w:rsidRDefault="002B0FE5" w:rsidP="00860054">
      <w:pPr>
        <w:spacing w:line="276" w:lineRule="auto"/>
        <w:jc w:val="both"/>
        <w:rPr>
          <w:rFonts w:asciiTheme="minorHAnsi" w:hAnsiTheme="minorHAnsi" w:cstheme="minorHAnsi"/>
          <w:sz w:val="17"/>
          <w:szCs w:val="17"/>
        </w:rPr>
      </w:pPr>
    </w:p>
    <w:p w14:paraId="14AB6B2B" w14:textId="77777777" w:rsidR="00F32AF0" w:rsidRDefault="00F32AF0" w:rsidP="00860054">
      <w:pPr>
        <w:spacing w:line="276" w:lineRule="auto"/>
        <w:jc w:val="both"/>
        <w:rPr>
          <w:rFonts w:asciiTheme="minorHAnsi" w:hAnsiTheme="minorHAnsi" w:cstheme="minorHAnsi"/>
          <w:sz w:val="17"/>
          <w:szCs w:val="17"/>
        </w:rPr>
      </w:pPr>
    </w:p>
    <w:p w14:paraId="6701DA47" w14:textId="77777777" w:rsidR="00F32AF0" w:rsidRDefault="00F32AF0" w:rsidP="00860054">
      <w:pPr>
        <w:spacing w:line="276" w:lineRule="auto"/>
        <w:jc w:val="both"/>
        <w:rPr>
          <w:rFonts w:asciiTheme="minorHAnsi" w:hAnsiTheme="minorHAnsi" w:cstheme="minorHAnsi"/>
          <w:sz w:val="17"/>
          <w:szCs w:val="17"/>
        </w:rPr>
      </w:pPr>
    </w:p>
    <w:p w14:paraId="4626650B" w14:textId="77777777" w:rsidR="005311D1" w:rsidRDefault="005311D1" w:rsidP="00860054">
      <w:pPr>
        <w:spacing w:line="276" w:lineRule="auto"/>
        <w:jc w:val="both"/>
        <w:rPr>
          <w:rFonts w:asciiTheme="minorHAnsi" w:hAnsiTheme="minorHAnsi" w:cstheme="minorHAnsi"/>
          <w:sz w:val="17"/>
          <w:szCs w:val="17"/>
        </w:rPr>
      </w:pPr>
    </w:p>
    <w:p w14:paraId="60C75378" w14:textId="77777777" w:rsidR="005311D1" w:rsidRDefault="005311D1" w:rsidP="00860054">
      <w:pPr>
        <w:spacing w:line="276" w:lineRule="auto"/>
        <w:jc w:val="both"/>
        <w:rPr>
          <w:rFonts w:asciiTheme="minorHAnsi" w:hAnsiTheme="minorHAnsi" w:cstheme="minorHAnsi"/>
          <w:sz w:val="17"/>
          <w:szCs w:val="17"/>
        </w:rPr>
      </w:pPr>
    </w:p>
    <w:p w14:paraId="1D53C1DE" w14:textId="77777777" w:rsidR="005311D1" w:rsidRDefault="005311D1" w:rsidP="00860054">
      <w:pPr>
        <w:spacing w:line="276" w:lineRule="auto"/>
        <w:jc w:val="both"/>
        <w:rPr>
          <w:rFonts w:asciiTheme="minorHAnsi" w:hAnsiTheme="minorHAnsi" w:cstheme="minorHAnsi"/>
          <w:sz w:val="17"/>
          <w:szCs w:val="17"/>
        </w:rPr>
      </w:pPr>
    </w:p>
    <w:p w14:paraId="2897E104" w14:textId="77777777" w:rsidR="005311D1" w:rsidRDefault="005311D1" w:rsidP="00860054">
      <w:pPr>
        <w:spacing w:line="276" w:lineRule="auto"/>
        <w:jc w:val="both"/>
        <w:rPr>
          <w:rFonts w:asciiTheme="minorHAnsi" w:hAnsiTheme="minorHAnsi" w:cstheme="minorHAnsi"/>
          <w:sz w:val="17"/>
          <w:szCs w:val="17"/>
        </w:rPr>
      </w:pPr>
    </w:p>
    <w:p w14:paraId="7A7176BD" w14:textId="3141138D" w:rsidR="008A3D0C" w:rsidRPr="001045B7" w:rsidRDefault="008A3D0C"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Contexto y supuestos crediticios</w:t>
      </w:r>
    </w:p>
    <w:p w14:paraId="1EEADFD2" w14:textId="33993DFA" w:rsidR="008A3D0C" w:rsidRPr="001045B7" w:rsidRDefault="008A3D0C" w:rsidP="00860054">
      <w:pPr>
        <w:spacing w:line="276" w:lineRule="auto"/>
        <w:jc w:val="both"/>
        <w:rPr>
          <w:rFonts w:asciiTheme="minorHAnsi" w:hAnsiTheme="minorHAnsi" w:cstheme="minorHAnsi"/>
          <w:sz w:val="17"/>
          <w:szCs w:val="17"/>
        </w:rPr>
      </w:pPr>
    </w:p>
    <w:p w14:paraId="18EB6CA0" w14:textId="5AFA86C7" w:rsidR="008A3D0C" w:rsidRPr="001045B7" w:rsidRDefault="008A3D0C"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espera que continúen las medidas fiscales prudentes y la planificación estratégica a largo plazo.</w:t>
      </w:r>
    </w:p>
    <w:p w14:paraId="58115B54" w14:textId="4B6CAF08"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Es probable que Querétaro permanezca un destino atractivo para la inversión, con potencial para beneficiarse del </w:t>
      </w:r>
      <w:proofErr w:type="spellStart"/>
      <w:r w:rsidRPr="001045B7">
        <w:rPr>
          <w:rFonts w:asciiTheme="minorHAnsi" w:hAnsiTheme="minorHAnsi" w:cstheme="minorHAnsi"/>
          <w:sz w:val="17"/>
          <w:szCs w:val="17"/>
        </w:rPr>
        <w:t>nearshoring</w:t>
      </w:r>
      <w:proofErr w:type="spellEnd"/>
      <w:r w:rsidRPr="001045B7">
        <w:rPr>
          <w:rFonts w:asciiTheme="minorHAnsi" w:hAnsiTheme="minorHAnsi" w:cstheme="minorHAnsi"/>
          <w:sz w:val="17"/>
          <w:szCs w:val="17"/>
        </w:rPr>
        <w:t xml:space="preserve"> que podría fortalecer la economía.</w:t>
      </w:r>
    </w:p>
    <w:p w14:paraId="23839B67" w14:textId="3FE5695D"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Es probable que sea necesaria la negociación política para aprobar reformas, dado que el partido oficial perdió la mayoría en el Congreso este año.</w:t>
      </w:r>
    </w:p>
    <w:p w14:paraId="5F07F2D2" w14:textId="4EFB3A8E" w:rsidR="00226B37" w:rsidRPr="001045B7" w:rsidRDefault="00226B37" w:rsidP="00860054">
      <w:pPr>
        <w:spacing w:line="276" w:lineRule="auto"/>
        <w:jc w:val="both"/>
        <w:rPr>
          <w:rFonts w:asciiTheme="minorHAnsi" w:hAnsiTheme="minorHAnsi" w:cstheme="minorHAnsi"/>
          <w:sz w:val="17"/>
          <w:szCs w:val="17"/>
        </w:rPr>
      </w:pPr>
    </w:p>
    <w:p w14:paraId="17023261" w14:textId="1B5BD110"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Expectativas del escenario base</w:t>
      </w:r>
    </w:p>
    <w:p w14:paraId="2C701281" w14:textId="6282A179" w:rsidR="00226B37" w:rsidRPr="001045B7" w:rsidRDefault="00226B37" w:rsidP="00860054">
      <w:pPr>
        <w:spacing w:line="276" w:lineRule="auto"/>
        <w:jc w:val="both"/>
        <w:rPr>
          <w:rFonts w:asciiTheme="minorHAnsi" w:hAnsiTheme="minorHAnsi" w:cstheme="minorHAnsi"/>
          <w:sz w:val="17"/>
          <w:szCs w:val="17"/>
        </w:rPr>
      </w:pPr>
    </w:p>
    <w:p w14:paraId="48798B27" w14:textId="3BB14FCF"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Los sólidos resultados operativos, el crecimiento económico y el aumento de las tasas impositivas ayudarán a cubrir mayores gastos operativos y de capital (</w:t>
      </w:r>
      <w:proofErr w:type="spellStart"/>
      <w:r w:rsidRPr="001045B7">
        <w:rPr>
          <w:rFonts w:asciiTheme="minorHAnsi" w:hAnsiTheme="minorHAnsi" w:cstheme="minorHAnsi"/>
          <w:sz w:val="17"/>
          <w:szCs w:val="17"/>
        </w:rPr>
        <w:t>capex</w:t>
      </w:r>
      <w:proofErr w:type="spellEnd"/>
      <w:r w:rsidRPr="001045B7">
        <w:rPr>
          <w:rFonts w:asciiTheme="minorHAnsi" w:hAnsiTheme="minorHAnsi" w:cstheme="minorHAnsi"/>
          <w:sz w:val="17"/>
          <w:szCs w:val="17"/>
        </w:rPr>
        <w:t>).</w:t>
      </w:r>
    </w:p>
    <w:p w14:paraId="1C4F88AD" w14:textId="4549BC22"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alto gasto de capital necesario para avanzar con el plan de infraestructura probablemente será financiado con reservas de efectivo.</w:t>
      </w:r>
    </w:p>
    <w:p w14:paraId="38C3393F" w14:textId="5E5D9909" w:rsidR="00226B37" w:rsidRPr="001045B7" w:rsidRDefault="00226B37"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espera que la carga de la deuda se mantenga baja sin nuevos préstamos en los próximos tres años.</w:t>
      </w:r>
    </w:p>
    <w:p w14:paraId="47C4DDD6" w14:textId="667F4656" w:rsidR="00226B37" w:rsidRPr="001045B7" w:rsidRDefault="00226B37" w:rsidP="00860054">
      <w:pPr>
        <w:spacing w:line="276" w:lineRule="auto"/>
        <w:jc w:val="both"/>
        <w:rPr>
          <w:rFonts w:asciiTheme="minorHAnsi" w:hAnsiTheme="minorHAnsi" w:cstheme="minorHAnsi"/>
          <w:sz w:val="17"/>
          <w:szCs w:val="17"/>
        </w:rPr>
      </w:pPr>
    </w:p>
    <w:p w14:paraId="0A8BD4B7" w14:textId="77777777"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Esperamos que Querétaro mantenga políticas financieras prudentes y un desempeño presupuestal sólido durante los próximos tres años. Esta evaluación incorpora una mayor recaudación de ingresos luego del aumento del impuesto sobre la nómina en 2022 y la introducción de nuevas medidas para contener el gasto operativo.</w:t>
      </w:r>
    </w:p>
    <w:p w14:paraId="4203489B" w14:textId="77777777" w:rsidR="00226B37" w:rsidRPr="001045B7" w:rsidRDefault="00226B37" w:rsidP="00226B37">
      <w:pPr>
        <w:spacing w:line="276" w:lineRule="auto"/>
        <w:jc w:val="both"/>
        <w:rPr>
          <w:rFonts w:asciiTheme="minorHAnsi" w:hAnsiTheme="minorHAnsi" w:cstheme="minorHAnsi"/>
          <w:sz w:val="17"/>
          <w:szCs w:val="17"/>
        </w:rPr>
      </w:pPr>
    </w:p>
    <w:p w14:paraId="3BBA4B27" w14:textId="1305315C"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amplio espacio fiscal de Querétaro permitirá a su administración financiera continuar ejecutando un plan integral de infraestructura. El Estado financiará este plan con su sólido balance operativo y sus altas reservas de efectivo. Además, tiene la capacidad de endeudarse a costos favorables, si decide hacerlo.</w:t>
      </w:r>
    </w:p>
    <w:p w14:paraId="49436219" w14:textId="39174474" w:rsidR="00226B37" w:rsidRPr="001045B7" w:rsidRDefault="00226B37" w:rsidP="00226B37">
      <w:pPr>
        <w:spacing w:line="276" w:lineRule="auto"/>
        <w:jc w:val="both"/>
        <w:rPr>
          <w:rFonts w:asciiTheme="minorHAnsi" w:hAnsiTheme="minorHAnsi" w:cstheme="minorHAnsi"/>
          <w:sz w:val="17"/>
          <w:szCs w:val="17"/>
        </w:rPr>
      </w:pPr>
    </w:p>
    <w:p w14:paraId="4CA9FB25" w14:textId="680357ED"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Esperamos que el Estado continúe fomentando un entorno favorable a las empresas para atraer nuevas inversiones. Dicho esto, consideramos que aprobar reformas o proyectos, cuando sea necesario, será más difícil ahora que el partido oficial ha perdido la mayoría en el congreso local.</w:t>
      </w:r>
    </w:p>
    <w:p w14:paraId="34059492" w14:textId="55216FE4" w:rsidR="00226B37" w:rsidRPr="001045B7" w:rsidRDefault="00226B37" w:rsidP="00226B37">
      <w:pPr>
        <w:spacing w:line="276" w:lineRule="auto"/>
        <w:jc w:val="both"/>
        <w:rPr>
          <w:rFonts w:asciiTheme="minorHAnsi" w:hAnsiTheme="minorHAnsi" w:cstheme="minorHAnsi"/>
          <w:sz w:val="17"/>
          <w:szCs w:val="17"/>
        </w:rPr>
      </w:pPr>
    </w:p>
    <w:p w14:paraId="2524A1D5" w14:textId="0251E1AB"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Perspectiva</w:t>
      </w:r>
    </w:p>
    <w:p w14:paraId="1A4B1A31" w14:textId="77777777" w:rsidR="00F84418" w:rsidRPr="001045B7" w:rsidRDefault="00F84418" w:rsidP="00226B37">
      <w:pPr>
        <w:spacing w:line="276" w:lineRule="auto"/>
        <w:jc w:val="both"/>
        <w:rPr>
          <w:rFonts w:asciiTheme="minorHAnsi" w:hAnsiTheme="minorHAnsi" w:cstheme="minorHAnsi"/>
          <w:sz w:val="17"/>
          <w:szCs w:val="17"/>
        </w:rPr>
      </w:pPr>
    </w:p>
    <w:p w14:paraId="515A39BB" w14:textId="66200AE1" w:rsidR="002B0FE5"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perspectiva estable de las calificaciones de largo plazo tanto en escala global como nacional refleja la de la calificación soberana e indica nuestra opinión de que el Estado mantendrá sus prudentes políticas financieras, de deuda y de liquidez en los próximos 12 a 24 meses. La alta dependencia de las transferencias federales de los gobiernos locales y regionales y su limitada flexibilidad financiera, nos impide calificarlos por arriba del soberano.</w:t>
      </w:r>
    </w:p>
    <w:p w14:paraId="0CFAE240" w14:textId="366729E7" w:rsidR="002B0FE5" w:rsidRDefault="002B0FE5" w:rsidP="00226B37">
      <w:pPr>
        <w:spacing w:line="276" w:lineRule="auto"/>
        <w:jc w:val="both"/>
        <w:rPr>
          <w:rFonts w:asciiTheme="minorHAnsi" w:hAnsiTheme="minorHAnsi" w:cstheme="minorHAnsi"/>
          <w:sz w:val="17"/>
          <w:szCs w:val="17"/>
        </w:rPr>
      </w:pPr>
    </w:p>
    <w:p w14:paraId="2EBF4CE0" w14:textId="77777777" w:rsidR="005311D1" w:rsidRDefault="005311D1" w:rsidP="00226B37">
      <w:pPr>
        <w:spacing w:line="276" w:lineRule="auto"/>
        <w:jc w:val="both"/>
        <w:rPr>
          <w:rFonts w:asciiTheme="minorHAnsi" w:hAnsiTheme="minorHAnsi" w:cstheme="minorHAnsi"/>
          <w:sz w:val="17"/>
          <w:szCs w:val="17"/>
        </w:rPr>
      </w:pPr>
    </w:p>
    <w:p w14:paraId="6FEBF5E8" w14:textId="64C48B20"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Escenario negativo</w:t>
      </w:r>
    </w:p>
    <w:p w14:paraId="11C71647" w14:textId="77777777" w:rsidR="00F84418" w:rsidRPr="001045B7" w:rsidRDefault="00F84418" w:rsidP="00226B37">
      <w:pPr>
        <w:spacing w:line="276" w:lineRule="auto"/>
        <w:jc w:val="both"/>
        <w:rPr>
          <w:rFonts w:asciiTheme="minorHAnsi" w:hAnsiTheme="minorHAnsi" w:cstheme="minorHAnsi"/>
          <w:sz w:val="17"/>
          <w:szCs w:val="17"/>
        </w:rPr>
      </w:pPr>
    </w:p>
    <w:p w14:paraId="4A45B0E1" w14:textId="0251A8D8"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Podríamos tomar una acción de calificación negativa sobre Querétaro en los próximos 12 a 24 meses si tomáramos la misma acción sobre el soberano. También podría ocurrir una baja de las calificaciones si la administración revierte drásticamente sus políticas fiscales, lo que podría debilitar su desempeño fiscal, posición de liquidez o perfil de deuda.</w:t>
      </w:r>
    </w:p>
    <w:p w14:paraId="20389EA0" w14:textId="77777777" w:rsidR="00F84418" w:rsidRPr="001045B7" w:rsidRDefault="00F84418" w:rsidP="00226B37">
      <w:pPr>
        <w:spacing w:line="276" w:lineRule="auto"/>
        <w:jc w:val="both"/>
        <w:rPr>
          <w:rFonts w:asciiTheme="minorHAnsi" w:hAnsiTheme="minorHAnsi" w:cstheme="minorHAnsi"/>
          <w:sz w:val="17"/>
          <w:szCs w:val="17"/>
        </w:rPr>
      </w:pPr>
    </w:p>
    <w:p w14:paraId="6E9F7B48" w14:textId="57A2EBB0"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Escenario positivo</w:t>
      </w:r>
    </w:p>
    <w:p w14:paraId="4363683E" w14:textId="77777777" w:rsidR="00F84418" w:rsidRPr="001045B7" w:rsidRDefault="00F84418" w:rsidP="00226B37">
      <w:pPr>
        <w:spacing w:line="276" w:lineRule="auto"/>
        <w:jc w:val="both"/>
        <w:rPr>
          <w:rFonts w:asciiTheme="minorHAnsi" w:hAnsiTheme="minorHAnsi" w:cstheme="minorHAnsi"/>
          <w:sz w:val="17"/>
          <w:szCs w:val="17"/>
        </w:rPr>
      </w:pPr>
    </w:p>
    <w:p w14:paraId="7ECE6946" w14:textId="372A11E1" w:rsidR="00226B37" w:rsidRPr="001045B7" w:rsidRDefault="00226B37" w:rsidP="00226B3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Sólo podríamos subir la calificación en escala global del Estado si subimos la calificación soberana. La calificación en escala nacional ya está en el nivel más alto '</w:t>
      </w:r>
      <w:proofErr w:type="spellStart"/>
      <w:r w:rsidRPr="001045B7">
        <w:rPr>
          <w:rFonts w:asciiTheme="minorHAnsi" w:hAnsiTheme="minorHAnsi" w:cstheme="minorHAnsi"/>
          <w:sz w:val="17"/>
          <w:szCs w:val="17"/>
        </w:rPr>
        <w:t>mxAAA</w:t>
      </w:r>
      <w:proofErr w:type="spellEnd"/>
      <w:r w:rsidRPr="001045B7">
        <w:rPr>
          <w:rFonts w:asciiTheme="minorHAnsi" w:hAnsiTheme="minorHAnsi" w:cstheme="minorHAnsi"/>
          <w:sz w:val="17"/>
          <w:szCs w:val="17"/>
        </w:rPr>
        <w:t>'.</w:t>
      </w:r>
    </w:p>
    <w:p w14:paraId="63FCAF97" w14:textId="6FE91F4D" w:rsidR="00F84418" w:rsidRPr="001045B7" w:rsidRDefault="00F84418" w:rsidP="00226B37">
      <w:pPr>
        <w:spacing w:line="276" w:lineRule="auto"/>
        <w:jc w:val="both"/>
        <w:rPr>
          <w:rFonts w:asciiTheme="minorHAnsi" w:hAnsiTheme="minorHAnsi" w:cstheme="minorHAnsi"/>
          <w:sz w:val="17"/>
          <w:szCs w:val="17"/>
        </w:rPr>
      </w:pPr>
    </w:p>
    <w:p w14:paraId="77446779" w14:textId="5BF21A5A" w:rsidR="00F84418" w:rsidRPr="001045B7" w:rsidRDefault="00F84418" w:rsidP="00F8441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Fundamento</w:t>
      </w:r>
    </w:p>
    <w:p w14:paraId="71E9D50B" w14:textId="77777777" w:rsidR="00F84418" w:rsidRPr="001045B7" w:rsidRDefault="00F84418" w:rsidP="00F84418">
      <w:pPr>
        <w:spacing w:line="276" w:lineRule="auto"/>
        <w:jc w:val="both"/>
        <w:rPr>
          <w:rFonts w:asciiTheme="minorHAnsi" w:hAnsiTheme="minorHAnsi" w:cstheme="minorHAnsi"/>
          <w:sz w:val="17"/>
          <w:szCs w:val="17"/>
        </w:rPr>
      </w:pPr>
    </w:p>
    <w:p w14:paraId="0928F9B5" w14:textId="764E597D" w:rsidR="00F84418" w:rsidRPr="001045B7" w:rsidRDefault="00F84418" w:rsidP="00F8441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Nuestras calificaciones en escala global de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y en escala nacional de '</w:t>
      </w:r>
      <w:proofErr w:type="spellStart"/>
      <w:r w:rsidRPr="001045B7">
        <w:rPr>
          <w:rFonts w:asciiTheme="minorHAnsi" w:hAnsiTheme="minorHAnsi" w:cstheme="minorHAnsi"/>
          <w:sz w:val="17"/>
          <w:szCs w:val="17"/>
        </w:rPr>
        <w:t>mxAAA</w:t>
      </w:r>
      <w:proofErr w:type="spellEnd"/>
      <w:r w:rsidRPr="001045B7">
        <w:rPr>
          <w:rFonts w:asciiTheme="minorHAnsi" w:hAnsiTheme="minorHAnsi" w:cstheme="minorHAnsi"/>
          <w:sz w:val="17"/>
          <w:szCs w:val="17"/>
        </w:rPr>
        <w:t>' reflejan la dinámica y diversificada economía de Querétaro, junto con una administración financiera experimentada, así como sus reservas fiscales y de liquidez que le permiten realizar un alto gasto en infraestructura. Querétaro fue el primer estado mexicano en alcanzar la calificación más alta en escala nacional '</w:t>
      </w:r>
      <w:proofErr w:type="spellStart"/>
      <w:r w:rsidRPr="001045B7">
        <w:rPr>
          <w:rFonts w:asciiTheme="minorHAnsi" w:hAnsiTheme="minorHAnsi" w:cstheme="minorHAnsi"/>
          <w:sz w:val="17"/>
          <w:szCs w:val="17"/>
        </w:rPr>
        <w:t>mxAAA</w:t>
      </w:r>
      <w:proofErr w:type="spellEnd"/>
      <w:r w:rsidRPr="001045B7">
        <w:rPr>
          <w:rFonts w:asciiTheme="minorHAnsi" w:hAnsiTheme="minorHAnsi" w:cstheme="minorHAnsi"/>
          <w:sz w:val="17"/>
          <w:szCs w:val="17"/>
        </w:rPr>
        <w:t xml:space="preserve">', en 2023, y comparte esta calificación solo con el Municipio de Querétaro (escala global: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xml:space="preserve">/Estable/--; escala nacional: </w:t>
      </w:r>
      <w:proofErr w:type="spellStart"/>
      <w:r w:rsidRPr="001045B7">
        <w:rPr>
          <w:rFonts w:asciiTheme="minorHAnsi" w:hAnsiTheme="minorHAnsi" w:cstheme="minorHAnsi"/>
          <w:sz w:val="17"/>
          <w:szCs w:val="17"/>
        </w:rPr>
        <w:t>mxAAA</w:t>
      </w:r>
      <w:proofErr w:type="spellEnd"/>
      <w:r w:rsidRPr="001045B7">
        <w:rPr>
          <w:rFonts w:asciiTheme="minorHAnsi" w:hAnsiTheme="minorHAnsi" w:cstheme="minorHAnsi"/>
          <w:sz w:val="17"/>
          <w:szCs w:val="17"/>
        </w:rPr>
        <w:t xml:space="preserve">/Estable/--) y el Estado de Guanajuato (escala global: </w:t>
      </w:r>
      <w:proofErr w:type="spellStart"/>
      <w:r w:rsidRPr="001045B7">
        <w:rPr>
          <w:rFonts w:asciiTheme="minorHAnsi" w:hAnsiTheme="minorHAnsi" w:cstheme="minorHAnsi"/>
          <w:sz w:val="17"/>
          <w:szCs w:val="17"/>
        </w:rPr>
        <w:t>BBB</w:t>
      </w:r>
      <w:proofErr w:type="spellEnd"/>
      <w:r w:rsidRPr="001045B7">
        <w:rPr>
          <w:rFonts w:asciiTheme="minorHAnsi" w:hAnsiTheme="minorHAnsi" w:cstheme="minorHAnsi"/>
          <w:sz w:val="17"/>
          <w:szCs w:val="17"/>
        </w:rPr>
        <w:t xml:space="preserve">/Estable/--; escala nacional: </w:t>
      </w:r>
      <w:proofErr w:type="spellStart"/>
      <w:r w:rsidRPr="001045B7">
        <w:rPr>
          <w:rFonts w:asciiTheme="minorHAnsi" w:hAnsiTheme="minorHAnsi" w:cstheme="minorHAnsi"/>
          <w:sz w:val="17"/>
          <w:szCs w:val="17"/>
        </w:rPr>
        <w:t>mxAAA</w:t>
      </w:r>
      <w:proofErr w:type="spellEnd"/>
      <w:r w:rsidRPr="001045B7">
        <w:rPr>
          <w:rFonts w:asciiTheme="minorHAnsi" w:hAnsiTheme="minorHAnsi" w:cstheme="minorHAnsi"/>
          <w:sz w:val="17"/>
          <w:szCs w:val="17"/>
        </w:rPr>
        <w:t>/Estable/--).</w:t>
      </w:r>
    </w:p>
    <w:p w14:paraId="2796CD9D" w14:textId="216AF44C" w:rsidR="00F84418" w:rsidRPr="001045B7" w:rsidRDefault="00F84418" w:rsidP="00F8441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Continua ejecución del plan de infraestructura con sólidos balances operativos y reservas de efectivo</w:t>
      </w:r>
    </w:p>
    <w:p w14:paraId="1F2ADDEE" w14:textId="77777777" w:rsidR="003B08E3" w:rsidRPr="001045B7" w:rsidRDefault="003B08E3" w:rsidP="00F84418">
      <w:pPr>
        <w:spacing w:line="276" w:lineRule="auto"/>
        <w:jc w:val="both"/>
        <w:rPr>
          <w:rFonts w:asciiTheme="minorHAnsi" w:hAnsiTheme="minorHAnsi" w:cstheme="minorHAnsi"/>
          <w:sz w:val="17"/>
          <w:szCs w:val="17"/>
        </w:rPr>
      </w:pPr>
    </w:p>
    <w:p w14:paraId="5F5ACA4A" w14:textId="77777777" w:rsidR="00F84418" w:rsidRPr="001045B7" w:rsidRDefault="00F84418" w:rsidP="00F84418">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Querétaro tiene una larga historia de políticas financieras muy prudentes y ha implementado medidas tanto para impulsar los ingresos como para contener el gasto, lo que le ha permitido registrar sólidos balances operativos en los últimos cinco años. El Estado todavía se beneficia del aumento de la tasa del impuesto sobre la nómina en 2022, la incorporación gradual de impuestos ambientales e iniciativas puntuales de recaudación de impuestos, como el programa de reemplazo de matrículas.</w:t>
      </w:r>
    </w:p>
    <w:p w14:paraId="2BD1064F" w14:textId="77777777" w:rsidR="003B08E3" w:rsidRPr="001045B7" w:rsidRDefault="003B08E3" w:rsidP="00F84418">
      <w:pPr>
        <w:spacing w:line="276" w:lineRule="auto"/>
        <w:jc w:val="both"/>
        <w:rPr>
          <w:rFonts w:asciiTheme="minorHAnsi" w:hAnsiTheme="minorHAnsi" w:cstheme="minorHAnsi"/>
          <w:sz w:val="17"/>
          <w:szCs w:val="17"/>
        </w:rPr>
      </w:pPr>
    </w:p>
    <w:p w14:paraId="467D8F7B" w14:textId="0B9235DD" w:rsidR="003B08E3" w:rsidRPr="001045B7" w:rsidRDefault="00F84418"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Por otra parte, el Estado afronta algunos desafíos operativos, principalmente la necesidad de que los servicios públicos y la infraestructura se pongan al día con el importante crecimiento poblacional; invertir en seguridad, lo que implica contratar y equipar policías, y eventualmente un mayor gasto en seguridad social. Los gastos en pensiones siguen siendo bajos, alrededor de 2% de los ingresos operativos, pero el último informe actuarial (2021) señala que la presión podría</w:t>
      </w:r>
      <w:r w:rsidR="003B08E3" w:rsidRPr="001045B7">
        <w:rPr>
          <w:rFonts w:asciiTheme="minorHAnsi" w:hAnsiTheme="minorHAnsi" w:cstheme="minorHAnsi"/>
          <w:sz w:val="17"/>
          <w:szCs w:val="17"/>
        </w:rPr>
        <w:t xml:space="preserve"> aumentar en los próximos 10 años. Otro desafío es el probable mayor grado de negociación necesario para aprobar reformas ahora que el partido oficial ha perdido la mayoría en el congreso local.</w:t>
      </w:r>
    </w:p>
    <w:p w14:paraId="032917B6" w14:textId="77777777" w:rsidR="003B08E3" w:rsidRPr="001045B7" w:rsidRDefault="003B08E3" w:rsidP="003B08E3">
      <w:pPr>
        <w:spacing w:line="276" w:lineRule="auto"/>
        <w:jc w:val="both"/>
        <w:rPr>
          <w:rFonts w:asciiTheme="minorHAnsi" w:hAnsiTheme="minorHAnsi" w:cstheme="minorHAnsi"/>
          <w:sz w:val="17"/>
          <w:szCs w:val="17"/>
        </w:rPr>
      </w:pPr>
    </w:p>
    <w:p w14:paraId="59F64E2E" w14:textId="77777777"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Proyectamos que Querétaro registrará superávits operativos de alrededor de 18% de sus ingresos operativos en los próximos tres años, en parte debido a mayores ingresos propios en comparación con los de otros estados mexicanos. El sólido desempeño fiscal le da al Estado importantes reservas contra una posible desaceleración económica nacional o internacional, como una demanda externa más débil de Estados Unidos. Sin embargo, consideramos que Querétaro tiene una flexibilidad fiscal ligeramente limitada, dado que alrededor de 80% de sus ingresos consisten en transferencias federales. Dicho esto, es algo menos dependiente que la mayoría de los estados mexicanos (cuyo promedio ronda 90%).</w:t>
      </w:r>
    </w:p>
    <w:p w14:paraId="60928BC4" w14:textId="77777777" w:rsidR="003B08E3" w:rsidRPr="001045B7" w:rsidRDefault="003B08E3" w:rsidP="003B08E3">
      <w:pPr>
        <w:spacing w:line="276" w:lineRule="auto"/>
        <w:jc w:val="both"/>
        <w:rPr>
          <w:rFonts w:asciiTheme="minorHAnsi" w:hAnsiTheme="minorHAnsi" w:cstheme="minorHAnsi"/>
          <w:sz w:val="17"/>
          <w:szCs w:val="17"/>
        </w:rPr>
      </w:pPr>
    </w:p>
    <w:p w14:paraId="19729606" w14:textId="0E1E535C" w:rsidR="00F84418"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Esperamos que la administración mantenga un alto nivel de gastos de capital a través de su ambicioso plan de infraestructura, financiado directamente por la sólida posición financiera del Estado. Nuestro escenario base supone que las obras públicas alcanzarán un monto de alrededor de 12,500 millones de pesos mexicanos (MXN) en 2024 y se mantendrán en torno a </w:t>
      </w:r>
      <w:proofErr w:type="spellStart"/>
      <w:r w:rsidRPr="001045B7">
        <w:rPr>
          <w:rFonts w:asciiTheme="minorHAnsi" w:hAnsiTheme="minorHAnsi" w:cstheme="minorHAnsi"/>
          <w:sz w:val="17"/>
          <w:szCs w:val="17"/>
        </w:rPr>
        <w:t>MXN10,000</w:t>
      </w:r>
      <w:proofErr w:type="spellEnd"/>
      <w:r w:rsidRPr="001045B7">
        <w:rPr>
          <w:rFonts w:asciiTheme="minorHAnsi" w:hAnsiTheme="minorHAnsi" w:cstheme="minorHAnsi"/>
          <w:sz w:val="17"/>
          <w:szCs w:val="17"/>
        </w:rPr>
        <w:t xml:space="preserve"> millones en 2025-2026, lo que generará pequeños déficits después de gasto de capital de alrededor de 0.7% en los próximos tres años. El gasto de capital se ha acelerado en 2024, alcanzando alrededor de </w:t>
      </w:r>
      <w:proofErr w:type="spellStart"/>
      <w:r w:rsidRPr="001045B7">
        <w:rPr>
          <w:rFonts w:asciiTheme="minorHAnsi" w:hAnsiTheme="minorHAnsi" w:cstheme="minorHAnsi"/>
          <w:sz w:val="17"/>
          <w:szCs w:val="17"/>
        </w:rPr>
        <w:t>MXN8,400</w:t>
      </w:r>
      <w:proofErr w:type="spellEnd"/>
      <w:r w:rsidRPr="001045B7">
        <w:rPr>
          <w:rFonts w:asciiTheme="minorHAnsi" w:hAnsiTheme="minorHAnsi" w:cstheme="minorHAnsi"/>
          <w:sz w:val="17"/>
          <w:szCs w:val="17"/>
        </w:rPr>
        <w:t xml:space="preserve"> millones a julio.</w:t>
      </w:r>
    </w:p>
    <w:p w14:paraId="12C952CE" w14:textId="77777777" w:rsidR="00F84418" w:rsidRPr="001045B7" w:rsidRDefault="00F84418" w:rsidP="00F84418">
      <w:pPr>
        <w:spacing w:line="276" w:lineRule="auto"/>
        <w:jc w:val="both"/>
        <w:rPr>
          <w:rFonts w:asciiTheme="minorHAnsi" w:hAnsiTheme="minorHAnsi" w:cstheme="minorHAnsi"/>
          <w:sz w:val="17"/>
          <w:szCs w:val="17"/>
        </w:rPr>
      </w:pPr>
    </w:p>
    <w:p w14:paraId="2A6EE666" w14:textId="77777777"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Los proyectos más importantes del Estado se enfocan en la movilidad, infraestructura y seguridad. Inicialmente, la administración pretendía invertir en dos subestaciones eléctricas y proyectos complementarios a través de la agencia energética del Estado. Sin embargo, el gobierno federal absorbió el proyecto para que lo ejecutara la Comisión Federal de Electricidad (CFE), lo que se tradujo en un reembolso de </w:t>
      </w:r>
      <w:proofErr w:type="spellStart"/>
      <w:r w:rsidRPr="001045B7">
        <w:rPr>
          <w:rFonts w:asciiTheme="minorHAnsi" w:hAnsiTheme="minorHAnsi" w:cstheme="minorHAnsi"/>
          <w:sz w:val="17"/>
          <w:szCs w:val="17"/>
        </w:rPr>
        <w:t>MXN2,300</w:t>
      </w:r>
      <w:proofErr w:type="spellEnd"/>
      <w:r w:rsidRPr="001045B7">
        <w:rPr>
          <w:rFonts w:asciiTheme="minorHAnsi" w:hAnsiTheme="minorHAnsi" w:cstheme="minorHAnsi"/>
          <w:sz w:val="17"/>
          <w:szCs w:val="17"/>
        </w:rPr>
        <w:t xml:space="preserve"> millones al Estado en el primer semestre de 2024 proveniente de una carta de crédito que había emitido como garantía del proyecto. Otros proyectos importantes incluyen la modernización de la Avenida 5 de Febrero y obras hídricas.</w:t>
      </w:r>
    </w:p>
    <w:p w14:paraId="7B89A354" w14:textId="279800C2"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Si bien no esperamos que el Estado incurra en nuevos endeudamientos, tiene espacio para hacerlo. La carga de deuda del Estado consiste en dos préstamos de mediano plazo adquiridos en 2023, por un monto de </w:t>
      </w:r>
      <w:proofErr w:type="spellStart"/>
      <w:r w:rsidRPr="001045B7">
        <w:rPr>
          <w:rFonts w:asciiTheme="minorHAnsi" w:hAnsiTheme="minorHAnsi" w:cstheme="minorHAnsi"/>
          <w:sz w:val="17"/>
          <w:szCs w:val="17"/>
        </w:rPr>
        <w:t>MXN3,300</w:t>
      </w:r>
      <w:proofErr w:type="spellEnd"/>
      <w:r w:rsidRPr="001045B7">
        <w:rPr>
          <w:rFonts w:asciiTheme="minorHAnsi" w:hAnsiTheme="minorHAnsi" w:cstheme="minorHAnsi"/>
          <w:sz w:val="17"/>
          <w:szCs w:val="17"/>
        </w:rPr>
        <w:t xml:space="preserve"> millones, con diferenciales de interés muy favorables de 15 puntos base y 18 puntos base, entre los más bajos para cualquier gobierno local y regional en México. Ambos préstamos tienen vencimientos de cuatro años, lo que significa que serán pagados en su totalidad dentro del plazo de esta administración.</w:t>
      </w:r>
    </w:p>
    <w:p w14:paraId="4FA35B04" w14:textId="77777777" w:rsidR="003B08E3" w:rsidRPr="001045B7" w:rsidRDefault="003B08E3" w:rsidP="003B08E3">
      <w:pPr>
        <w:spacing w:line="276" w:lineRule="auto"/>
        <w:jc w:val="both"/>
        <w:rPr>
          <w:rFonts w:asciiTheme="minorHAnsi" w:hAnsiTheme="minorHAnsi" w:cstheme="minorHAnsi"/>
          <w:sz w:val="17"/>
          <w:szCs w:val="17"/>
        </w:rPr>
      </w:pPr>
    </w:p>
    <w:p w14:paraId="29B2CD14" w14:textId="48E78331" w:rsidR="008A3D0C"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Dados sus resultados fiscales históricamente sólidos, Querétaro ha acumulado reservas de efectivo altas, en torno a 10% de su ingreso operativo y sustancialmente superiores a los pagos estimados del servicio de la deuda para los dos préstamos que conforman su deuda. En nuestra opinión, Querétaro tendría buen acceso a liquidez externa, en caso de ser necesario, dado el gran número de bancos locales dispuestos a prestarle.</w:t>
      </w:r>
    </w:p>
    <w:p w14:paraId="74A0C75D" w14:textId="570D2F73" w:rsidR="003B08E3" w:rsidRPr="001045B7" w:rsidRDefault="003B08E3" w:rsidP="003B08E3">
      <w:pPr>
        <w:spacing w:line="276" w:lineRule="auto"/>
        <w:jc w:val="both"/>
        <w:rPr>
          <w:rFonts w:asciiTheme="minorHAnsi" w:hAnsiTheme="minorHAnsi" w:cstheme="minorHAnsi"/>
          <w:sz w:val="17"/>
          <w:szCs w:val="17"/>
        </w:rPr>
      </w:pPr>
    </w:p>
    <w:p w14:paraId="38237D95" w14:textId="77777777"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administración experimentada apunta a mantener el Estado como un destino atractivo para la inversión</w:t>
      </w:r>
    </w:p>
    <w:p w14:paraId="00A74DF8" w14:textId="77777777" w:rsidR="003B08E3" w:rsidRPr="001045B7" w:rsidRDefault="003B08E3" w:rsidP="003B08E3">
      <w:pPr>
        <w:spacing w:line="276" w:lineRule="auto"/>
        <w:jc w:val="both"/>
        <w:rPr>
          <w:rFonts w:asciiTheme="minorHAnsi" w:hAnsiTheme="minorHAnsi" w:cstheme="minorHAnsi"/>
          <w:sz w:val="17"/>
          <w:szCs w:val="17"/>
        </w:rPr>
      </w:pPr>
    </w:p>
    <w:p w14:paraId="44957F24" w14:textId="1F4DA45D"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nuestra opinión, la inversión privada y las tendencias de </w:t>
      </w:r>
      <w:proofErr w:type="spellStart"/>
      <w:r w:rsidRPr="001045B7">
        <w:rPr>
          <w:rFonts w:asciiTheme="minorHAnsi" w:hAnsiTheme="minorHAnsi" w:cstheme="minorHAnsi"/>
          <w:sz w:val="17"/>
          <w:szCs w:val="17"/>
        </w:rPr>
        <w:t>nearshoring</w:t>
      </w:r>
      <w:proofErr w:type="spellEnd"/>
      <w:r w:rsidRPr="001045B7">
        <w:rPr>
          <w:rFonts w:asciiTheme="minorHAnsi" w:hAnsiTheme="minorHAnsi" w:cstheme="minorHAnsi"/>
          <w:sz w:val="17"/>
          <w:szCs w:val="17"/>
        </w:rPr>
        <w:t xml:space="preserve"> seguirán ayudando a que la dinámica y diversa economía de Querétaro crezca. Querétaro ha atraído inversión directa nacional y extranjera al mejorar su competitividad y reforzar la seguridad y certidumbre jurídica, además de invertir en infraestructura para cubrir las demandas de las empresas que se instalan y reinvierten en el Estado.</w:t>
      </w:r>
    </w:p>
    <w:p w14:paraId="5C3FBC5A" w14:textId="77777777" w:rsidR="003B08E3" w:rsidRPr="001045B7" w:rsidRDefault="003B08E3" w:rsidP="003B08E3">
      <w:pPr>
        <w:spacing w:line="276" w:lineRule="auto"/>
        <w:jc w:val="both"/>
        <w:rPr>
          <w:rFonts w:asciiTheme="minorHAnsi" w:hAnsiTheme="minorHAnsi" w:cstheme="minorHAnsi"/>
          <w:sz w:val="17"/>
          <w:szCs w:val="17"/>
        </w:rPr>
      </w:pPr>
    </w:p>
    <w:p w14:paraId="11977CE3" w14:textId="77777777"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administración financiera del Estado tiene una larga trayectoria de políticas fiscales muy prudentes a lo largo de las administraciones, lo que sigue siendo una fortaleza clave para su calificación. La actual administración (2021-2027) aprovechará el sólido desempeño fiscal del Estado para avanzar en su plan integral de infraestructura, que incluye obras enfocadas en fomentar la inversión; aumentar la capacidad del Estado para cubrir la demanda de energía, agua, seguridad y conectividad; e impulsar su agenda ambiental. Esto es posible gracias a la capacidad del gobierno para establecer planes estratégicos de largo plazo que reconocen áreas y necesidades clave de inversión.</w:t>
      </w:r>
    </w:p>
    <w:p w14:paraId="1E200F03" w14:textId="77777777" w:rsidR="00FD64D2" w:rsidRPr="001045B7" w:rsidRDefault="00FD64D2" w:rsidP="003B08E3">
      <w:pPr>
        <w:spacing w:line="276" w:lineRule="auto"/>
        <w:jc w:val="both"/>
        <w:rPr>
          <w:rFonts w:asciiTheme="minorHAnsi" w:hAnsiTheme="minorHAnsi" w:cstheme="minorHAnsi"/>
          <w:sz w:val="17"/>
          <w:szCs w:val="17"/>
        </w:rPr>
      </w:pPr>
    </w:p>
    <w:p w14:paraId="7B9ED399" w14:textId="4982F242"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Nuevas oportunidades de inversión auguran buenas expectativas económicas para Querétaro. Además de las fuertes industrias manufactureras, automotriz y aeroespacial, el Estado está atrayendo importantes inversiones en los sectores de tecnología de la información y de las comunicaciones, con la ampliación de su red de centros de datos. En 2024, dos empresas anunciaron inversiones importantes en regiones de nube en el Estado: una inversión de </w:t>
      </w:r>
      <w:proofErr w:type="spellStart"/>
      <w:r w:rsidRPr="001045B7">
        <w:rPr>
          <w:rFonts w:asciiTheme="minorHAnsi" w:hAnsiTheme="minorHAnsi" w:cstheme="minorHAnsi"/>
          <w:sz w:val="17"/>
          <w:szCs w:val="17"/>
        </w:rPr>
        <w:t>US5,000</w:t>
      </w:r>
      <w:proofErr w:type="spellEnd"/>
      <w:r w:rsidRPr="001045B7">
        <w:rPr>
          <w:rFonts w:asciiTheme="minorHAnsi" w:hAnsiTheme="minorHAnsi" w:cstheme="minorHAnsi"/>
          <w:sz w:val="17"/>
          <w:szCs w:val="17"/>
        </w:rPr>
        <w:t xml:space="preserve"> millones de Amazon y una inversión de </w:t>
      </w:r>
      <w:proofErr w:type="spellStart"/>
      <w:r w:rsidRPr="001045B7">
        <w:rPr>
          <w:rFonts w:asciiTheme="minorHAnsi" w:hAnsiTheme="minorHAnsi" w:cstheme="minorHAnsi"/>
          <w:sz w:val="17"/>
          <w:szCs w:val="17"/>
        </w:rPr>
        <w:t>US1,200</w:t>
      </w:r>
      <w:proofErr w:type="spellEnd"/>
      <w:r w:rsidRPr="001045B7">
        <w:rPr>
          <w:rFonts w:asciiTheme="minorHAnsi" w:hAnsiTheme="minorHAnsi" w:cstheme="minorHAnsi"/>
          <w:sz w:val="17"/>
          <w:szCs w:val="17"/>
        </w:rPr>
        <w:t xml:space="preserve"> millones de Google Cloud, que será la primera de este tipo de la empresa en México.</w:t>
      </w:r>
    </w:p>
    <w:p w14:paraId="6997B5A2" w14:textId="77777777" w:rsidR="00FD64D2" w:rsidRPr="001045B7" w:rsidRDefault="00FD64D2" w:rsidP="003B08E3">
      <w:pPr>
        <w:spacing w:line="276" w:lineRule="auto"/>
        <w:jc w:val="both"/>
        <w:rPr>
          <w:rFonts w:asciiTheme="minorHAnsi" w:hAnsiTheme="minorHAnsi" w:cstheme="minorHAnsi"/>
          <w:sz w:val="17"/>
          <w:szCs w:val="17"/>
        </w:rPr>
      </w:pPr>
    </w:p>
    <w:p w14:paraId="2FE22193" w14:textId="472FF4FE" w:rsidR="003B08E3" w:rsidRPr="001045B7" w:rsidRDefault="003B08E3"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Como resultado, esperamos que el crecimiento económico del Estado sea mayor que el del soberano. El crecimiento de Querétaro se estimó en 3.5% en 2023, ligeramente por encima del promedio nacional estimado de 3.2%. Mientras tanto, el PIB per cápita del Estado se ubicó en alrededor de </w:t>
      </w:r>
      <w:proofErr w:type="spellStart"/>
      <w:r w:rsidRPr="001045B7">
        <w:rPr>
          <w:rFonts w:asciiTheme="minorHAnsi" w:hAnsiTheme="minorHAnsi" w:cstheme="minorHAnsi"/>
          <w:sz w:val="17"/>
          <w:szCs w:val="17"/>
        </w:rPr>
        <w:t>US17,800</w:t>
      </w:r>
      <w:proofErr w:type="spellEnd"/>
      <w:r w:rsidRPr="001045B7">
        <w:rPr>
          <w:rFonts w:asciiTheme="minorHAnsi" w:hAnsiTheme="minorHAnsi" w:cstheme="minorHAnsi"/>
          <w:sz w:val="17"/>
          <w:szCs w:val="17"/>
        </w:rPr>
        <w:t xml:space="preserve"> en 2023, también por encima del promedio nacional (</w:t>
      </w:r>
      <w:proofErr w:type="spellStart"/>
      <w:r w:rsidRPr="001045B7">
        <w:rPr>
          <w:rFonts w:asciiTheme="minorHAnsi" w:hAnsiTheme="minorHAnsi" w:cstheme="minorHAnsi"/>
          <w:sz w:val="17"/>
          <w:szCs w:val="17"/>
        </w:rPr>
        <w:t>US13,500</w:t>
      </w:r>
      <w:proofErr w:type="spellEnd"/>
      <w:r w:rsidRPr="001045B7">
        <w:rPr>
          <w:rFonts w:asciiTheme="minorHAnsi" w:hAnsiTheme="minorHAnsi" w:cstheme="minorHAnsi"/>
          <w:sz w:val="17"/>
          <w:szCs w:val="17"/>
        </w:rPr>
        <w:t>). El Estado también presenta algunos indicadores socioeconómicos favorables, con una tasa de pobreza estimada de 22% para 2022, por debajo del promedio nacional de 36%. También tiene la tercera tasa de formalidad más alta, con 62%, solo por debajo de la Ciudad de México (75%) y el Estado de Nuevo León (66%), lo que respalda sus mayores ingresos fiscales.</w:t>
      </w:r>
    </w:p>
    <w:p w14:paraId="720A67F7" w14:textId="14435FF3" w:rsidR="00FD64D2" w:rsidRPr="001045B7" w:rsidRDefault="00FD64D2" w:rsidP="003B08E3">
      <w:pPr>
        <w:spacing w:line="276" w:lineRule="auto"/>
        <w:jc w:val="both"/>
        <w:rPr>
          <w:rFonts w:asciiTheme="minorHAnsi" w:hAnsiTheme="minorHAnsi" w:cstheme="minorHAnsi"/>
          <w:sz w:val="17"/>
          <w:szCs w:val="17"/>
        </w:rPr>
      </w:pPr>
    </w:p>
    <w:p w14:paraId="77C4B26F" w14:textId="7F6404B2" w:rsidR="00FD64D2" w:rsidRPr="001045B7" w:rsidRDefault="00FD64D2" w:rsidP="003B08E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Al igual que el resto de los estados mexicanos, Querétaro opera bajo un marco institucional que consideramos en evolución y desbalanceado. Si bien los resultados fiscales generales y la transparencia han mejorado, la previsibilidad del sistema y la alta dependencia de los estados de las transferencias federales son una limitante para la calificación que comparte la mayoría de los estados mexicanos.</w:t>
      </w:r>
    </w:p>
    <w:p w14:paraId="50C14AC1" w14:textId="77777777" w:rsidR="00FD64D2" w:rsidRPr="001045B7" w:rsidRDefault="00FD64D2" w:rsidP="00860054">
      <w:pPr>
        <w:spacing w:line="276" w:lineRule="auto"/>
        <w:jc w:val="both"/>
        <w:rPr>
          <w:rFonts w:asciiTheme="minorHAnsi" w:hAnsiTheme="minorHAnsi" w:cstheme="minorHAnsi"/>
          <w:sz w:val="17"/>
          <w:szCs w:val="17"/>
        </w:rPr>
      </w:pPr>
    </w:p>
    <w:p w14:paraId="5C8D8F3E" w14:textId="77777777" w:rsidR="001325A4" w:rsidRPr="001045B7" w:rsidRDefault="001325A4"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Proceso de Mejora</w:t>
      </w:r>
    </w:p>
    <w:p w14:paraId="3DBD248D" w14:textId="77777777" w:rsidR="001325A4" w:rsidRPr="001045B7" w:rsidRDefault="001325A4" w:rsidP="00860054">
      <w:pPr>
        <w:spacing w:line="276" w:lineRule="auto"/>
        <w:jc w:val="both"/>
        <w:rPr>
          <w:rFonts w:asciiTheme="minorHAnsi" w:hAnsiTheme="minorHAnsi" w:cstheme="minorHAnsi"/>
          <w:sz w:val="17"/>
          <w:szCs w:val="17"/>
        </w:rPr>
      </w:pPr>
    </w:p>
    <w:p w14:paraId="684262A1" w14:textId="1ED09A01" w:rsidR="0026029A" w:rsidRPr="001045B7" w:rsidRDefault="0026029A"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El 01 </w:t>
      </w:r>
      <w:r w:rsidR="00EC1E61" w:rsidRPr="001045B7">
        <w:rPr>
          <w:rFonts w:asciiTheme="minorHAnsi" w:hAnsiTheme="minorHAnsi" w:cstheme="minorHAnsi"/>
          <w:sz w:val="17"/>
          <w:szCs w:val="17"/>
        </w:rPr>
        <w:t xml:space="preserve">(uno) </w:t>
      </w:r>
      <w:r w:rsidRPr="001045B7">
        <w:rPr>
          <w:rFonts w:asciiTheme="minorHAnsi" w:hAnsiTheme="minorHAnsi" w:cstheme="minorHAnsi"/>
          <w:sz w:val="17"/>
          <w:szCs w:val="17"/>
        </w:rPr>
        <w:t xml:space="preserve">de enero </w:t>
      </w:r>
      <w:r w:rsidR="00EC1E61" w:rsidRPr="001045B7">
        <w:rPr>
          <w:rFonts w:asciiTheme="minorHAnsi" w:hAnsiTheme="minorHAnsi" w:cstheme="minorHAnsi"/>
          <w:sz w:val="17"/>
          <w:szCs w:val="17"/>
        </w:rPr>
        <w:t xml:space="preserve">del 2024, (dos mil veinticuatro) </w:t>
      </w:r>
      <w:r w:rsidRPr="001045B7">
        <w:rPr>
          <w:rFonts w:asciiTheme="minorHAnsi" w:hAnsiTheme="minorHAnsi" w:cstheme="minorHAnsi"/>
          <w:sz w:val="17"/>
          <w:szCs w:val="17"/>
        </w:rPr>
        <w:t>se arrancó con la implementación de un nuevo sistema financiero, administrativo, a fin de mantener procesos actualizado</w:t>
      </w:r>
      <w:r w:rsidR="00CF3C26" w:rsidRPr="001045B7">
        <w:rPr>
          <w:rFonts w:asciiTheme="minorHAnsi" w:hAnsiTheme="minorHAnsi" w:cstheme="minorHAnsi"/>
          <w:sz w:val="17"/>
          <w:szCs w:val="17"/>
        </w:rPr>
        <w:t>s y dar un seguimiento oportuno a las operaciones generadas en la operatividad del Poder Ejecutivo.</w:t>
      </w:r>
    </w:p>
    <w:p w14:paraId="2CBEC14A" w14:textId="77777777" w:rsidR="00F317FC" w:rsidRPr="001045B7" w:rsidRDefault="00F317FC" w:rsidP="00860054">
      <w:pPr>
        <w:spacing w:line="276" w:lineRule="auto"/>
        <w:jc w:val="both"/>
        <w:rPr>
          <w:rFonts w:asciiTheme="minorHAnsi" w:hAnsiTheme="minorHAnsi" w:cstheme="minorHAnsi"/>
          <w:sz w:val="17"/>
          <w:szCs w:val="17"/>
        </w:rPr>
      </w:pPr>
    </w:p>
    <w:p w14:paraId="1C3005B3" w14:textId="7F6BDE76" w:rsidR="001325A4" w:rsidRPr="001045B7" w:rsidRDefault="001325A4"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Durante el periodo que se informa, se atendieron diversas observaciones y recomendaciones emitidas por parte de entidades fiscalizadoras, lo que ha dado como resultado, una mejora en los procesos de control interno.  </w:t>
      </w:r>
    </w:p>
    <w:p w14:paraId="4125B910" w14:textId="77777777" w:rsidR="00F317FC" w:rsidRPr="001045B7" w:rsidRDefault="00F317FC" w:rsidP="00860054">
      <w:pPr>
        <w:spacing w:line="276" w:lineRule="auto"/>
        <w:jc w:val="both"/>
        <w:rPr>
          <w:rFonts w:asciiTheme="minorHAnsi" w:hAnsiTheme="minorHAnsi" w:cstheme="minorHAnsi"/>
          <w:sz w:val="17"/>
          <w:szCs w:val="17"/>
        </w:rPr>
      </w:pPr>
    </w:p>
    <w:p w14:paraId="79575AA6" w14:textId="5CDDB997" w:rsidR="001325A4" w:rsidRPr="001045B7" w:rsidRDefault="001325A4"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La cuenta de Otros Activos no Circulantes se mantiene en un proceso continuo de revisión y depuración.</w:t>
      </w:r>
    </w:p>
    <w:p w14:paraId="736B878A" w14:textId="77777777" w:rsidR="00B20C39" w:rsidRPr="001045B7" w:rsidRDefault="00B20C39" w:rsidP="00860054">
      <w:pPr>
        <w:spacing w:line="276" w:lineRule="auto"/>
        <w:jc w:val="both"/>
        <w:rPr>
          <w:rFonts w:asciiTheme="minorHAnsi" w:hAnsiTheme="minorHAnsi" w:cstheme="minorHAnsi"/>
          <w:sz w:val="17"/>
          <w:szCs w:val="17"/>
        </w:rPr>
      </w:pPr>
    </w:p>
    <w:p w14:paraId="23A7AF78" w14:textId="77777777" w:rsidR="001325A4" w:rsidRPr="001045B7" w:rsidRDefault="001325A4"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Información por Segmentos</w:t>
      </w:r>
    </w:p>
    <w:p w14:paraId="73034FA1" w14:textId="77777777" w:rsidR="001325A4" w:rsidRPr="001045B7" w:rsidRDefault="001325A4" w:rsidP="00860054">
      <w:pPr>
        <w:spacing w:line="276" w:lineRule="auto"/>
        <w:jc w:val="both"/>
        <w:rPr>
          <w:rFonts w:asciiTheme="minorHAnsi" w:hAnsiTheme="minorHAnsi" w:cstheme="minorHAnsi"/>
          <w:sz w:val="17"/>
          <w:szCs w:val="17"/>
        </w:rPr>
      </w:pPr>
    </w:p>
    <w:p w14:paraId="6112C6CD" w14:textId="0AD54719" w:rsidR="001325A4" w:rsidRPr="001045B7" w:rsidRDefault="001325A4"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el periodo que se reporta, no existe información referente a segmentos por revelar.</w:t>
      </w:r>
    </w:p>
    <w:p w14:paraId="331549FF" w14:textId="77777777" w:rsidR="002009D5" w:rsidRPr="001045B7" w:rsidRDefault="002009D5" w:rsidP="00860054">
      <w:pPr>
        <w:spacing w:line="276" w:lineRule="auto"/>
        <w:jc w:val="both"/>
        <w:rPr>
          <w:rFonts w:asciiTheme="minorHAnsi" w:hAnsiTheme="minorHAnsi" w:cstheme="minorHAnsi"/>
          <w:sz w:val="17"/>
          <w:szCs w:val="17"/>
        </w:rPr>
      </w:pPr>
    </w:p>
    <w:p w14:paraId="732C2E7D" w14:textId="4B6FBA2D" w:rsidR="002009D5" w:rsidRPr="001045B7" w:rsidRDefault="002009D5" w:rsidP="00860054">
      <w:pPr>
        <w:spacing w:line="276" w:lineRule="auto"/>
        <w:jc w:val="both"/>
        <w:rPr>
          <w:rFonts w:asciiTheme="minorHAnsi" w:hAnsiTheme="minorHAnsi" w:cstheme="minorHAnsi"/>
          <w:sz w:val="17"/>
          <w:szCs w:val="17"/>
        </w:rPr>
      </w:pPr>
    </w:p>
    <w:p w14:paraId="62A65DD1" w14:textId="0F5D00B0" w:rsidR="002009D5" w:rsidRPr="001045B7" w:rsidRDefault="001325A4" w:rsidP="002009D5">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Eventos Posteriores al Cierre</w:t>
      </w:r>
    </w:p>
    <w:p w14:paraId="7ADBAC7A" w14:textId="77777777" w:rsidR="001325A4" w:rsidRPr="001045B7" w:rsidRDefault="001325A4" w:rsidP="00860054">
      <w:pPr>
        <w:spacing w:line="276" w:lineRule="auto"/>
        <w:jc w:val="both"/>
        <w:rPr>
          <w:rFonts w:asciiTheme="minorHAnsi" w:hAnsiTheme="minorHAnsi" w:cstheme="minorHAnsi"/>
          <w:sz w:val="17"/>
          <w:szCs w:val="17"/>
        </w:rPr>
      </w:pPr>
    </w:p>
    <w:p w14:paraId="5874B503" w14:textId="145D8E52" w:rsidR="001325A4" w:rsidRPr="001045B7" w:rsidRDefault="001325A4"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el periodo que se reporta, no existen eventos posteriores a revelar.</w:t>
      </w:r>
    </w:p>
    <w:p w14:paraId="6429974F" w14:textId="77777777" w:rsidR="002009D5" w:rsidRPr="001045B7" w:rsidRDefault="002009D5" w:rsidP="00860054">
      <w:pPr>
        <w:spacing w:line="276" w:lineRule="auto"/>
        <w:jc w:val="both"/>
        <w:rPr>
          <w:rFonts w:asciiTheme="minorHAnsi" w:hAnsiTheme="minorHAnsi" w:cstheme="minorHAnsi"/>
          <w:sz w:val="17"/>
          <w:szCs w:val="17"/>
        </w:rPr>
      </w:pPr>
    </w:p>
    <w:p w14:paraId="0CE48FC2" w14:textId="77777777" w:rsidR="001325A4" w:rsidRPr="001045B7" w:rsidRDefault="001325A4" w:rsidP="00860054">
      <w:pPr>
        <w:spacing w:line="276" w:lineRule="auto"/>
        <w:jc w:val="both"/>
        <w:rPr>
          <w:rFonts w:asciiTheme="minorHAnsi" w:hAnsiTheme="minorHAnsi" w:cstheme="minorHAnsi"/>
          <w:sz w:val="17"/>
          <w:szCs w:val="17"/>
        </w:rPr>
      </w:pPr>
    </w:p>
    <w:p w14:paraId="34838BD3" w14:textId="77777777" w:rsidR="001325A4" w:rsidRPr="001045B7" w:rsidRDefault="001325A4" w:rsidP="00860054">
      <w:pPr>
        <w:pStyle w:val="Prrafodelista"/>
        <w:numPr>
          <w:ilvl w:val="0"/>
          <w:numId w:val="26"/>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Partes Relacionadas</w:t>
      </w:r>
    </w:p>
    <w:p w14:paraId="3597E210" w14:textId="77777777" w:rsidR="001325A4" w:rsidRPr="001045B7" w:rsidRDefault="001325A4" w:rsidP="00860054">
      <w:pPr>
        <w:spacing w:line="276" w:lineRule="auto"/>
        <w:jc w:val="both"/>
        <w:rPr>
          <w:rFonts w:asciiTheme="minorHAnsi" w:hAnsiTheme="minorHAnsi" w:cstheme="minorHAnsi"/>
          <w:sz w:val="17"/>
          <w:szCs w:val="17"/>
        </w:rPr>
      </w:pPr>
    </w:p>
    <w:p w14:paraId="1EC8536F" w14:textId="431CCFA5" w:rsidR="001325A4" w:rsidRPr="001045B7" w:rsidRDefault="001325A4"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el presente Informe, no existen partes relacionadas que pudieran ejercer influencia sobre la toma de decisiones financieras y operativas.</w:t>
      </w:r>
    </w:p>
    <w:p w14:paraId="738229A6" w14:textId="77777777" w:rsidR="001B3CC1" w:rsidRPr="001045B7" w:rsidRDefault="001B3CC1" w:rsidP="00860054">
      <w:pPr>
        <w:spacing w:line="276" w:lineRule="auto"/>
        <w:jc w:val="both"/>
        <w:rPr>
          <w:rFonts w:asciiTheme="minorHAnsi" w:hAnsiTheme="minorHAnsi" w:cstheme="minorHAnsi"/>
          <w:sz w:val="17"/>
          <w:szCs w:val="17"/>
        </w:rPr>
      </w:pPr>
    </w:p>
    <w:p w14:paraId="592DA47B" w14:textId="475FFDCB" w:rsidR="00F52BD4" w:rsidRPr="001045B7" w:rsidRDefault="00607D6D"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w:t>
      </w:r>
      <w:r w:rsidR="001325A4" w:rsidRPr="001045B7">
        <w:rPr>
          <w:rFonts w:asciiTheme="minorHAnsi" w:hAnsiTheme="minorHAnsi" w:cstheme="minorHAnsi"/>
          <w:sz w:val="17"/>
          <w:szCs w:val="17"/>
        </w:rPr>
        <w:t xml:space="preserve">as presentes notas y estados financieros, de acuerdo a la reforma antes citada, y conforme a las funciones establecidas en los artículos 1,2 fracción XIII, 3 fracción II, 4, 10, 11, 45 fracción IV., 46, 61 y 62 del Reglamento Interior de la Secretaría de Finanzas del Poder Ejecutivo del Estado de Querétaro, serán firmados </w:t>
      </w:r>
      <w:r w:rsidRPr="001045B7">
        <w:rPr>
          <w:rFonts w:asciiTheme="minorHAnsi" w:hAnsiTheme="minorHAnsi" w:cstheme="minorHAnsi"/>
          <w:sz w:val="17"/>
          <w:szCs w:val="17"/>
        </w:rPr>
        <w:t>por</w:t>
      </w:r>
      <w:r w:rsidR="001325A4" w:rsidRPr="001045B7">
        <w:rPr>
          <w:rFonts w:asciiTheme="minorHAnsi" w:hAnsiTheme="minorHAnsi" w:cstheme="minorHAnsi"/>
          <w:sz w:val="17"/>
          <w:szCs w:val="17"/>
        </w:rPr>
        <w:t xml:space="preserve"> el </w:t>
      </w:r>
      <w:r w:rsidR="00A5042F" w:rsidRPr="001045B7">
        <w:rPr>
          <w:rFonts w:asciiTheme="minorHAnsi" w:hAnsiTheme="minorHAnsi" w:cstheme="minorHAnsi"/>
          <w:sz w:val="17"/>
          <w:szCs w:val="17"/>
        </w:rPr>
        <w:t>Secretari</w:t>
      </w:r>
      <w:r w:rsidR="00FE415C">
        <w:rPr>
          <w:rFonts w:asciiTheme="minorHAnsi" w:hAnsiTheme="minorHAnsi" w:cstheme="minorHAnsi"/>
          <w:sz w:val="17"/>
          <w:szCs w:val="17"/>
        </w:rPr>
        <w:t>o</w:t>
      </w:r>
      <w:r w:rsidR="00A5042F" w:rsidRPr="001045B7">
        <w:rPr>
          <w:rFonts w:asciiTheme="minorHAnsi" w:hAnsiTheme="minorHAnsi" w:cstheme="minorHAnsi"/>
          <w:sz w:val="17"/>
          <w:szCs w:val="17"/>
        </w:rPr>
        <w:t xml:space="preserve"> de Finanzas, </w:t>
      </w:r>
      <w:r w:rsidR="00CD7EF5" w:rsidRPr="001045B7">
        <w:rPr>
          <w:rFonts w:asciiTheme="minorHAnsi" w:hAnsiTheme="minorHAnsi" w:cstheme="minorHAnsi"/>
          <w:sz w:val="17"/>
          <w:szCs w:val="17"/>
        </w:rPr>
        <w:t>Subsecretari</w:t>
      </w:r>
      <w:r w:rsidR="00994B1C">
        <w:rPr>
          <w:rFonts w:asciiTheme="minorHAnsi" w:hAnsiTheme="minorHAnsi" w:cstheme="minorHAnsi"/>
          <w:sz w:val="17"/>
          <w:szCs w:val="17"/>
        </w:rPr>
        <w:t>a</w:t>
      </w:r>
      <w:r w:rsidR="00CD7EF5" w:rsidRPr="001045B7">
        <w:rPr>
          <w:rFonts w:asciiTheme="minorHAnsi" w:hAnsiTheme="minorHAnsi" w:cstheme="minorHAnsi"/>
          <w:sz w:val="17"/>
          <w:szCs w:val="17"/>
        </w:rPr>
        <w:t xml:space="preserve"> de Egresos y el Director</w:t>
      </w:r>
      <w:r w:rsidR="001325A4" w:rsidRPr="001045B7">
        <w:rPr>
          <w:rFonts w:asciiTheme="minorHAnsi" w:hAnsiTheme="minorHAnsi" w:cstheme="minorHAnsi"/>
          <w:sz w:val="17"/>
          <w:szCs w:val="17"/>
        </w:rPr>
        <w:t xml:space="preserve"> de Contabilidad adscrit</w:t>
      </w:r>
      <w:r w:rsidRPr="001045B7">
        <w:rPr>
          <w:rFonts w:asciiTheme="minorHAnsi" w:hAnsiTheme="minorHAnsi" w:cstheme="minorHAnsi"/>
          <w:sz w:val="17"/>
          <w:szCs w:val="17"/>
        </w:rPr>
        <w:t>o</w:t>
      </w:r>
      <w:r w:rsidR="001325A4" w:rsidRPr="001045B7">
        <w:rPr>
          <w:rFonts w:asciiTheme="minorHAnsi" w:hAnsiTheme="minorHAnsi" w:cstheme="minorHAnsi"/>
          <w:sz w:val="17"/>
          <w:szCs w:val="17"/>
        </w:rPr>
        <w:t>s a esta Secretaría de Finanzas del Poder Ejecutivo del Estado de Querétaro.</w:t>
      </w:r>
    </w:p>
    <w:p w14:paraId="2F78C368" w14:textId="6FB5C938" w:rsidR="002009D5" w:rsidRPr="001045B7" w:rsidRDefault="002009D5" w:rsidP="00860054">
      <w:pPr>
        <w:spacing w:line="276" w:lineRule="auto"/>
        <w:jc w:val="both"/>
        <w:rPr>
          <w:rFonts w:asciiTheme="minorHAnsi" w:hAnsiTheme="minorHAnsi" w:cstheme="minorHAnsi"/>
          <w:sz w:val="17"/>
          <w:szCs w:val="17"/>
        </w:rPr>
      </w:pPr>
    </w:p>
    <w:p w14:paraId="2BF563B4" w14:textId="4F1FC0BC" w:rsidR="002009D5" w:rsidRPr="001045B7" w:rsidRDefault="002009D5" w:rsidP="00860054">
      <w:pPr>
        <w:spacing w:line="276" w:lineRule="auto"/>
        <w:jc w:val="both"/>
        <w:rPr>
          <w:rFonts w:asciiTheme="minorHAnsi" w:hAnsiTheme="minorHAnsi" w:cstheme="minorHAnsi"/>
          <w:sz w:val="17"/>
          <w:szCs w:val="17"/>
        </w:rPr>
      </w:pPr>
    </w:p>
    <w:p w14:paraId="1031BBA6" w14:textId="286ADCAD" w:rsidR="002009D5" w:rsidRPr="001045B7" w:rsidRDefault="002009D5" w:rsidP="00860054">
      <w:pPr>
        <w:spacing w:line="276" w:lineRule="auto"/>
        <w:jc w:val="both"/>
        <w:rPr>
          <w:rFonts w:asciiTheme="minorHAnsi" w:hAnsiTheme="minorHAnsi" w:cstheme="minorHAnsi"/>
          <w:sz w:val="17"/>
          <w:szCs w:val="17"/>
        </w:rPr>
      </w:pPr>
    </w:p>
    <w:p w14:paraId="26A09458" w14:textId="6F78DF7D" w:rsidR="002009D5" w:rsidRPr="001045B7" w:rsidRDefault="002009D5" w:rsidP="00860054">
      <w:pPr>
        <w:spacing w:line="276" w:lineRule="auto"/>
        <w:jc w:val="both"/>
        <w:rPr>
          <w:rFonts w:asciiTheme="minorHAnsi" w:hAnsiTheme="minorHAnsi" w:cstheme="minorHAnsi"/>
          <w:sz w:val="17"/>
          <w:szCs w:val="17"/>
        </w:rPr>
      </w:pPr>
    </w:p>
    <w:p w14:paraId="0B22AA89" w14:textId="19CA8D2E" w:rsidR="002009D5" w:rsidRPr="001045B7" w:rsidRDefault="002009D5" w:rsidP="00860054">
      <w:pPr>
        <w:spacing w:line="276" w:lineRule="auto"/>
        <w:jc w:val="both"/>
        <w:rPr>
          <w:rFonts w:asciiTheme="minorHAnsi" w:hAnsiTheme="minorHAnsi" w:cstheme="minorHAnsi"/>
          <w:sz w:val="17"/>
          <w:szCs w:val="17"/>
        </w:rPr>
      </w:pPr>
    </w:p>
    <w:p w14:paraId="0A96E2E0" w14:textId="598A5196" w:rsidR="006C7378" w:rsidRPr="001045B7" w:rsidRDefault="006C7378" w:rsidP="00860054">
      <w:pPr>
        <w:spacing w:line="276" w:lineRule="auto"/>
        <w:jc w:val="both"/>
        <w:rPr>
          <w:rFonts w:asciiTheme="minorHAnsi" w:hAnsiTheme="minorHAnsi" w:cstheme="minorHAnsi"/>
          <w:sz w:val="17"/>
          <w:szCs w:val="17"/>
        </w:rPr>
      </w:pPr>
    </w:p>
    <w:p w14:paraId="2A68D9C2" w14:textId="1376C165" w:rsidR="006C7378" w:rsidRPr="001045B7" w:rsidRDefault="006C7378" w:rsidP="00860054">
      <w:pPr>
        <w:spacing w:line="276" w:lineRule="auto"/>
        <w:jc w:val="both"/>
        <w:rPr>
          <w:rFonts w:asciiTheme="minorHAnsi" w:hAnsiTheme="minorHAnsi" w:cstheme="minorHAnsi"/>
          <w:sz w:val="17"/>
          <w:szCs w:val="17"/>
        </w:rPr>
      </w:pPr>
    </w:p>
    <w:p w14:paraId="4DE5F1F8" w14:textId="09808C5E" w:rsidR="006C7378" w:rsidRPr="001045B7" w:rsidRDefault="006C7378" w:rsidP="00860054">
      <w:pPr>
        <w:spacing w:line="276" w:lineRule="auto"/>
        <w:jc w:val="both"/>
        <w:rPr>
          <w:rFonts w:asciiTheme="minorHAnsi" w:hAnsiTheme="minorHAnsi" w:cstheme="minorHAnsi"/>
          <w:sz w:val="17"/>
          <w:szCs w:val="17"/>
        </w:rPr>
      </w:pPr>
    </w:p>
    <w:p w14:paraId="23959A63" w14:textId="1F2F5887" w:rsidR="006C7378" w:rsidRDefault="006C7378" w:rsidP="00860054">
      <w:pPr>
        <w:spacing w:line="276" w:lineRule="auto"/>
        <w:jc w:val="both"/>
        <w:rPr>
          <w:rFonts w:asciiTheme="minorHAnsi" w:hAnsiTheme="minorHAnsi" w:cstheme="minorHAnsi"/>
          <w:sz w:val="17"/>
          <w:szCs w:val="17"/>
        </w:rPr>
      </w:pPr>
    </w:p>
    <w:p w14:paraId="7663FA72" w14:textId="748BEB96" w:rsidR="00837664" w:rsidRDefault="00837664" w:rsidP="00860054">
      <w:pPr>
        <w:spacing w:line="276" w:lineRule="auto"/>
        <w:jc w:val="both"/>
        <w:rPr>
          <w:rFonts w:asciiTheme="minorHAnsi" w:hAnsiTheme="minorHAnsi" w:cstheme="minorHAnsi"/>
          <w:sz w:val="17"/>
          <w:szCs w:val="17"/>
        </w:rPr>
      </w:pPr>
    </w:p>
    <w:p w14:paraId="36D9C338" w14:textId="5B22FA35" w:rsidR="00837664" w:rsidRDefault="00837664" w:rsidP="00860054">
      <w:pPr>
        <w:spacing w:line="276" w:lineRule="auto"/>
        <w:jc w:val="both"/>
        <w:rPr>
          <w:rFonts w:asciiTheme="minorHAnsi" w:hAnsiTheme="minorHAnsi" w:cstheme="minorHAnsi"/>
          <w:sz w:val="17"/>
          <w:szCs w:val="17"/>
        </w:rPr>
      </w:pPr>
    </w:p>
    <w:p w14:paraId="67E5AC4D" w14:textId="710FF923" w:rsidR="00837664" w:rsidRDefault="00837664" w:rsidP="00860054">
      <w:pPr>
        <w:spacing w:line="276" w:lineRule="auto"/>
        <w:jc w:val="both"/>
        <w:rPr>
          <w:rFonts w:asciiTheme="minorHAnsi" w:hAnsiTheme="minorHAnsi" w:cstheme="minorHAnsi"/>
          <w:sz w:val="17"/>
          <w:szCs w:val="17"/>
        </w:rPr>
      </w:pPr>
    </w:p>
    <w:p w14:paraId="0CD59487" w14:textId="78AFA63A" w:rsidR="00837664" w:rsidRDefault="00837664" w:rsidP="00860054">
      <w:pPr>
        <w:spacing w:line="276" w:lineRule="auto"/>
        <w:jc w:val="both"/>
        <w:rPr>
          <w:rFonts w:asciiTheme="minorHAnsi" w:hAnsiTheme="minorHAnsi" w:cstheme="minorHAnsi"/>
          <w:sz w:val="17"/>
          <w:szCs w:val="17"/>
        </w:rPr>
      </w:pPr>
    </w:p>
    <w:p w14:paraId="0588FF34" w14:textId="73B31261" w:rsidR="00837664" w:rsidRDefault="00837664" w:rsidP="00860054">
      <w:pPr>
        <w:spacing w:line="276" w:lineRule="auto"/>
        <w:jc w:val="both"/>
        <w:rPr>
          <w:rFonts w:asciiTheme="minorHAnsi" w:hAnsiTheme="minorHAnsi" w:cstheme="minorHAnsi"/>
          <w:sz w:val="17"/>
          <w:szCs w:val="17"/>
        </w:rPr>
      </w:pPr>
    </w:p>
    <w:p w14:paraId="37D4FEB0" w14:textId="013B6BB3" w:rsidR="00837664" w:rsidRDefault="00837664" w:rsidP="00860054">
      <w:pPr>
        <w:spacing w:line="276" w:lineRule="auto"/>
        <w:jc w:val="both"/>
        <w:rPr>
          <w:rFonts w:asciiTheme="minorHAnsi" w:hAnsiTheme="minorHAnsi" w:cstheme="minorHAnsi"/>
          <w:sz w:val="17"/>
          <w:szCs w:val="17"/>
        </w:rPr>
      </w:pPr>
    </w:p>
    <w:p w14:paraId="5F9F699F" w14:textId="01A3F06D" w:rsidR="00837664" w:rsidRDefault="00837664" w:rsidP="00860054">
      <w:pPr>
        <w:spacing w:line="276" w:lineRule="auto"/>
        <w:jc w:val="both"/>
        <w:rPr>
          <w:rFonts w:asciiTheme="minorHAnsi" w:hAnsiTheme="minorHAnsi" w:cstheme="minorHAnsi"/>
          <w:sz w:val="17"/>
          <w:szCs w:val="17"/>
        </w:rPr>
      </w:pPr>
    </w:p>
    <w:p w14:paraId="094B479D" w14:textId="77777777" w:rsidR="00837664" w:rsidRPr="001045B7" w:rsidRDefault="00837664" w:rsidP="00860054">
      <w:pPr>
        <w:spacing w:line="276" w:lineRule="auto"/>
        <w:jc w:val="both"/>
        <w:rPr>
          <w:rFonts w:asciiTheme="minorHAnsi" w:hAnsiTheme="minorHAnsi" w:cstheme="minorHAnsi"/>
          <w:sz w:val="17"/>
          <w:szCs w:val="17"/>
        </w:rPr>
      </w:pPr>
    </w:p>
    <w:p w14:paraId="56B8ABE6" w14:textId="05A77950" w:rsidR="006C7378" w:rsidRPr="001045B7" w:rsidRDefault="006C7378" w:rsidP="00860054">
      <w:pPr>
        <w:spacing w:line="276" w:lineRule="auto"/>
        <w:jc w:val="both"/>
        <w:rPr>
          <w:rFonts w:asciiTheme="minorHAnsi" w:hAnsiTheme="minorHAnsi" w:cstheme="minorHAnsi"/>
          <w:sz w:val="17"/>
          <w:szCs w:val="17"/>
        </w:rPr>
      </w:pPr>
    </w:p>
    <w:p w14:paraId="04E5B4FA" w14:textId="77777777" w:rsidR="006C7378" w:rsidRPr="001045B7" w:rsidRDefault="006C7378" w:rsidP="00860054">
      <w:pPr>
        <w:spacing w:line="276" w:lineRule="auto"/>
        <w:jc w:val="both"/>
        <w:rPr>
          <w:rFonts w:asciiTheme="minorHAnsi" w:hAnsiTheme="minorHAnsi" w:cstheme="minorHAnsi"/>
          <w:sz w:val="17"/>
          <w:szCs w:val="17"/>
        </w:rPr>
      </w:pPr>
    </w:p>
    <w:p w14:paraId="3E2FA311" w14:textId="3151A6B7" w:rsidR="002009D5" w:rsidRPr="001045B7" w:rsidRDefault="002009D5" w:rsidP="00860054">
      <w:pPr>
        <w:spacing w:line="276" w:lineRule="auto"/>
        <w:jc w:val="both"/>
        <w:rPr>
          <w:rFonts w:asciiTheme="minorHAnsi" w:hAnsiTheme="minorHAnsi" w:cstheme="minorHAnsi"/>
          <w:sz w:val="17"/>
          <w:szCs w:val="17"/>
        </w:rPr>
      </w:pPr>
    </w:p>
    <w:p w14:paraId="3E561818" w14:textId="7BF4EB90" w:rsidR="00F52BD4" w:rsidRDefault="00F52BD4" w:rsidP="00860054">
      <w:pPr>
        <w:spacing w:line="276" w:lineRule="auto"/>
        <w:jc w:val="both"/>
        <w:rPr>
          <w:rFonts w:asciiTheme="minorHAnsi" w:hAnsiTheme="minorHAnsi" w:cstheme="minorHAnsi"/>
          <w:sz w:val="17"/>
          <w:szCs w:val="17"/>
        </w:rPr>
      </w:pPr>
    </w:p>
    <w:p w14:paraId="7DFDEA5F" w14:textId="77777777" w:rsidR="005311D1" w:rsidRPr="001045B7" w:rsidRDefault="005311D1" w:rsidP="00860054">
      <w:pPr>
        <w:spacing w:line="276" w:lineRule="auto"/>
        <w:jc w:val="both"/>
        <w:rPr>
          <w:rFonts w:asciiTheme="minorHAnsi" w:hAnsiTheme="minorHAnsi" w:cstheme="minorHAnsi"/>
          <w:sz w:val="17"/>
          <w:szCs w:val="17"/>
        </w:rPr>
      </w:pPr>
    </w:p>
    <w:p w14:paraId="4307870C" w14:textId="272890E2" w:rsidR="00F52BD4" w:rsidRPr="001045B7" w:rsidRDefault="009C3626" w:rsidP="00F52BD4">
      <w:pPr>
        <w:pStyle w:val="Prrafodelista"/>
        <w:numPr>
          <w:ilvl w:val="0"/>
          <w:numId w:val="25"/>
        </w:num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lastRenderedPageBreak/>
        <w:t>N</w:t>
      </w:r>
      <w:r w:rsidR="009310F5" w:rsidRPr="001045B7">
        <w:rPr>
          <w:rFonts w:asciiTheme="minorHAnsi" w:hAnsiTheme="minorHAnsi" w:cstheme="minorHAnsi"/>
          <w:b/>
          <w:sz w:val="17"/>
          <w:szCs w:val="17"/>
        </w:rPr>
        <w:t>OTAS DE DESGLOSE</w:t>
      </w:r>
    </w:p>
    <w:p w14:paraId="0389C10D" w14:textId="11A73A1F" w:rsidR="001325A4" w:rsidRPr="001045B7" w:rsidRDefault="001325A4" w:rsidP="00860054">
      <w:pPr>
        <w:pStyle w:val="Prrafodelista"/>
        <w:numPr>
          <w:ilvl w:val="0"/>
          <w:numId w:val="35"/>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NOTAS AL ESTADO DE ACTIVIDADES</w:t>
      </w:r>
    </w:p>
    <w:p w14:paraId="576D851C" w14:textId="08A43490" w:rsidR="001325A4" w:rsidRPr="001045B7" w:rsidRDefault="001325A4" w:rsidP="00860054">
      <w:pPr>
        <w:spacing w:line="276" w:lineRule="auto"/>
        <w:ind w:left="708"/>
        <w:jc w:val="both"/>
        <w:rPr>
          <w:rFonts w:asciiTheme="minorHAnsi" w:hAnsiTheme="minorHAnsi" w:cstheme="minorHAnsi"/>
          <w:b/>
          <w:sz w:val="17"/>
          <w:szCs w:val="17"/>
        </w:rPr>
      </w:pPr>
    </w:p>
    <w:p w14:paraId="1E812F20" w14:textId="60590A68" w:rsidR="001325A4" w:rsidRPr="001045B7" w:rsidRDefault="001325A4" w:rsidP="00860054">
      <w:pPr>
        <w:spacing w:line="276" w:lineRule="auto"/>
        <w:ind w:left="708"/>
        <w:jc w:val="both"/>
        <w:rPr>
          <w:rFonts w:asciiTheme="minorHAnsi" w:hAnsiTheme="minorHAnsi" w:cstheme="minorHAnsi"/>
          <w:b/>
          <w:sz w:val="17"/>
          <w:szCs w:val="17"/>
        </w:rPr>
      </w:pPr>
      <w:r w:rsidRPr="001045B7">
        <w:rPr>
          <w:rFonts w:asciiTheme="minorHAnsi" w:hAnsiTheme="minorHAnsi" w:cstheme="minorHAnsi"/>
          <w:b/>
          <w:sz w:val="17"/>
          <w:szCs w:val="17"/>
        </w:rPr>
        <w:t>Ingresos y Otros Beneficios</w:t>
      </w:r>
    </w:p>
    <w:p w14:paraId="52F122B4" w14:textId="08CE22C6" w:rsidR="00B47153" w:rsidRPr="001045B7" w:rsidRDefault="00B47153" w:rsidP="00860054">
      <w:pPr>
        <w:spacing w:line="276" w:lineRule="auto"/>
        <w:ind w:left="708"/>
        <w:jc w:val="both"/>
        <w:rPr>
          <w:rFonts w:asciiTheme="minorHAnsi" w:hAnsiTheme="minorHAnsi" w:cstheme="minorHAnsi"/>
          <w:sz w:val="17"/>
          <w:szCs w:val="17"/>
        </w:rPr>
      </w:pPr>
    </w:p>
    <w:p w14:paraId="6718BEB9" w14:textId="55968EFD" w:rsidR="00B47153" w:rsidRPr="001045B7" w:rsidRDefault="00B47153" w:rsidP="00860054">
      <w:pPr>
        <w:spacing w:line="276" w:lineRule="auto"/>
        <w:ind w:left="708"/>
        <w:jc w:val="both"/>
        <w:rPr>
          <w:rFonts w:asciiTheme="minorHAnsi" w:hAnsiTheme="minorHAnsi" w:cstheme="minorHAnsi"/>
          <w:sz w:val="17"/>
          <w:szCs w:val="17"/>
        </w:rPr>
      </w:pPr>
      <w:r w:rsidRPr="001045B7">
        <w:rPr>
          <w:rFonts w:asciiTheme="minorHAnsi" w:hAnsiTheme="minorHAnsi" w:cstheme="minorHAnsi"/>
          <w:sz w:val="17"/>
          <w:szCs w:val="17"/>
        </w:rPr>
        <w:t>•</w:t>
      </w:r>
      <w:r w:rsidRPr="001045B7">
        <w:rPr>
          <w:rFonts w:asciiTheme="minorHAnsi" w:hAnsiTheme="minorHAnsi" w:cstheme="minorHAnsi"/>
          <w:sz w:val="17"/>
          <w:szCs w:val="17"/>
        </w:rPr>
        <w:tab/>
        <w:t>Ingresos de gestión</w:t>
      </w:r>
    </w:p>
    <w:p w14:paraId="116EAFCB" w14:textId="7162DCC8" w:rsidR="0068349D" w:rsidRPr="001045B7" w:rsidRDefault="0068349D" w:rsidP="00860054">
      <w:pPr>
        <w:spacing w:line="276" w:lineRule="auto"/>
        <w:ind w:left="708"/>
        <w:jc w:val="both"/>
        <w:rPr>
          <w:rFonts w:asciiTheme="minorHAnsi" w:hAnsiTheme="minorHAnsi" w:cstheme="minorHAnsi"/>
          <w:sz w:val="17"/>
          <w:szCs w:val="17"/>
        </w:rPr>
      </w:pPr>
    </w:p>
    <w:p w14:paraId="78BCEA07" w14:textId="6FFA01E0" w:rsidR="0068349D" w:rsidRPr="001045B7" w:rsidRDefault="0068349D" w:rsidP="0068349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De los rubros de impuestos, cuotas y aportaciones de seguridad social, contribuciones de mejoras, derechos, productos, aprovechamientos, y de ingresos por venta de bienes y prestación de servicios, se informa</w:t>
      </w:r>
      <w:r w:rsidR="00FB7E57" w:rsidRPr="001045B7">
        <w:rPr>
          <w:rFonts w:asciiTheme="minorHAnsi" w:hAnsiTheme="minorHAnsi" w:cstheme="minorHAnsi"/>
          <w:sz w:val="17"/>
          <w:szCs w:val="17"/>
        </w:rPr>
        <w:t>n</w:t>
      </w:r>
      <w:r w:rsidRPr="001045B7">
        <w:rPr>
          <w:rFonts w:asciiTheme="minorHAnsi" w:hAnsiTheme="minorHAnsi" w:cstheme="minorHAnsi"/>
          <w:sz w:val="17"/>
          <w:szCs w:val="17"/>
        </w:rPr>
        <w:t xml:space="preserve"> los montos totales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0C63D286" w14:textId="596C549F" w:rsidR="0068349D" w:rsidRPr="001045B7" w:rsidRDefault="0068349D" w:rsidP="0068349D">
      <w:pPr>
        <w:spacing w:before="80" w:line="250" w:lineRule="exact"/>
        <w:ind w:left="709"/>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10485" w:type="dxa"/>
        <w:jc w:val="center"/>
        <w:tblCellMar>
          <w:left w:w="70" w:type="dxa"/>
          <w:right w:w="70" w:type="dxa"/>
        </w:tblCellMar>
        <w:tblLook w:val="04A0" w:firstRow="1" w:lastRow="0" w:firstColumn="1" w:lastColumn="0" w:noHBand="0" w:noVBand="1"/>
      </w:tblPr>
      <w:tblGrid>
        <w:gridCol w:w="7445"/>
        <w:gridCol w:w="1520"/>
        <w:gridCol w:w="1520"/>
      </w:tblGrid>
      <w:tr w:rsidR="0068349D" w:rsidRPr="001045B7" w14:paraId="6C12B6DA" w14:textId="77777777" w:rsidTr="00B41318">
        <w:trPr>
          <w:trHeight w:val="70"/>
          <w:jc w:val="center"/>
        </w:trPr>
        <w:tc>
          <w:tcPr>
            <w:tcW w:w="7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598CAC" w14:textId="77777777" w:rsidR="0068349D" w:rsidRPr="001045B7" w:rsidRDefault="0068349D"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 de ingresos:</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767DD3" w14:textId="0BE38914" w:rsidR="0068349D"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C5CB3E" w14:textId="27AC5A97" w:rsidR="0068349D"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B41318" w:rsidRPr="001045B7" w14:paraId="66269F70" w14:textId="77777777" w:rsidTr="00B41318">
        <w:trPr>
          <w:trHeight w:val="192"/>
          <w:jc w:val="center"/>
        </w:trPr>
        <w:tc>
          <w:tcPr>
            <w:tcW w:w="7445" w:type="dxa"/>
            <w:tcBorders>
              <w:top w:val="single" w:sz="4" w:space="0" w:color="auto"/>
              <w:left w:val="single" w:sz="4" w:space="0" w:color="auto"/>
              <w:bottom w:val="single" w:sz="4" w:space="0" w:color="auto"/>
              <w:right w:val="single" w:sz="4" w:space="0" w:color="auto"/>
            </w:tcBorders>
            <w:shd w:val="clear" w:color="auto" w:fill="auto"/>
            <w:vAlign w:val="center"/>
          </w:tcPr>
          <w:p w14:paraId="24FDC547"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Impuestos</w:t>
            </w:r>
          </w:p>
        </w:tc>
        <w:tc>
          <w:tcPr>
            <w:tcW w:w="1520" w:type="dxa"/>
            <w:tcBorders>
              <w:top w:val="single" w:sz="4" w:space="0" w:color="auto"/>
              <w:left w:val="nil"/>
              <w:bottom w:val="single" w:sz="4" w:space="0" w:color="auto"/>
              <w:right w:val="single" w:sz="4" w:space="0" w:color="auto"/>
            </w:tcBorders>
            <w:shd w:val="clear" w:color="auto" w:fill="auto"/>
          </w:tcPr>
          <w:p w14:paraId="368606D7" w14:textId="7874C0B1"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7,200,733,909 </w:t>
            </w:r>
          </w:p>
        </w:tc>
        <w:tc>
          <w:tcPr>
            <w:tcW w:w="1520" w:type="dxa"/>
            <w:tcBorders>
              <w:top w:val="single" w:sz="4" w:space="0" w:color="auto"/>
              <w:left w:val="nil"/>
              <w:bottom w:val="single" w:sz="4" w:space="0" w:color="auto"/>
              <w:right w:val="single" w:sz="4" w:space="0" w:color="auto"/>
            </w:tcBorders>
            <w:shd w:val="clear" w:color="auto" w:fill="auto"/>
          </w:tcPr>
          <w:p w14:paraId="4EC13BF9" w14:textId="585DDC21"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6,452,173,335 </w:t>
            </w:r>
          </w:p>
        </w:tc>
      </w:tr>
      <w:tr w:rsidR="00B41318" w:rsidRPr="001045B7" w14:paraId="1C8CE5E0" w14:textId="77777777" w:rsidTr="00B41318">
        <w:trPr>
          <w:trHeight w:val="241"/>
          <w:jc w:val="center"/>
        </w:trPr>
        <w:tc>
          <w:tcPr>
            <w:tcW w:w="7445" w:type="dxa"/>
            <w:tcBorders>
              <w:top w:val="nil"/>
              <w:left w:val="single" w:sz="4" w:space="0" w:color="auto"/>
              <w:bottom w:val="single" w:sz="4" w:space="0" w:color="auto"/>
              <w:right w:val="single" w:sz="4" w:space="0" w:color="auto"/>
            </w:tcBorders>
            <w:shd w:val="clear" w:color="auto" w:fill="auto"/>
          </w:tcPr>
          <w:p w14:paraId="72BF7FAC"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Sobre los Ingresos</w:t>
            </w:r>
          </w:p>
        </w:tc>
        <w:tc>
          <w:tcPr>
            <w:tcW w:w="1520" w:type="dxa"/>
            <w:tcBorders>
              <w:top w:val="nil"/>
              <w:left w:val="nil"/>
              <w:bottom w:val="single" w:sz="4" w:space="0" w:color="auto"/>
              <w:right w:val="single" w:sz="4" w:space="0" w:color="auto"/>
            </w:tcBorders>
            <w:shd w:val="clear" w:color="auto" w:fill="auto"/>
          </w:tcPr>
          <w:p w14:paraId="3791F095" w14:textId="668CAA0E"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25,133,619 </w:t>
            </w:r>
          </w:p>
        </w:tc>
        <w:tc>
          <w:tcPr>
            <w:tcW w:w="1520" w:type="dxa"/>
            <w:tcBorders>
              <w:top w:val="nil"/>
              <w:left w:val="nil"/>
              <w:bottom w:val="single" w:sz="4" w:space="0" w:color="auto"/>
              <w:right w:val="single" w:sz="4" w:space="0" w:color="auto"/>
            </w:tcBorders>
            <w:shd w:val="clear" w:color="auto" w:fill="auto"/>
          </w:tcPr>
          <w:p w14:paraId="74C74AC9" w14:textId="5F3AEEB4"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27,401,307 </w:t>
            </w:r>
          </w:p>
        </w:tc>
      </w:tr>
      <w:tr w:rsidR="00B41318" w:rsidRPr="001045B7" w14:paraId="59D5CBF4"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645B88BB"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Sobre el Patrimonio</w:t>
            </w:r>
          </w:p>
        </w:tc>
        <w:tc>
          <w:tcPr>
            <w:tcW w:w="1520" w:type="dxa"/>
            <w:tcBorders>
              <w:top w:val="nil"/>
              <w:left w:val="nil"/>
              <w:bottom w:val="single" w:sz="4" w:space="0" w:color="auto"/>
              <w:right w:val="single" w:sz="4" w:space="0" w:color="auto"/>
            </w:tcBorders>
            <w:shd w:val="clear" w:color="auto" w:fill="auto"/>
          </w:tcPr>
          <w:p w14:paraId="26995D47" w14:textId="3C193FC0"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430,896,780 </w:t>
            </w:r>
          </w:p>
        </w:tc>
        <w:tc>
          <w:tcPr>
            <w:tcW w:w="1520" w:type="dxa"/>
            <w:tcBorders>
              <w:top w:val="nil"/>
              <w:left w:val="nil"/>
              <w:bottom w:val="single" w:sz="4" w:space="0" w:color="auto"/>
              <w:right w:val="single" w:sz="4" w:space="0" w:color="auto"/>
            </w:tcBorders>
            <w:shd w:val="clear" w:color="auto" w:fill="auto"/>
          </w:tcPr>
          <w:p w14:paraId="649C437C" w14:textId="7B936820"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355,666,329 </w:t>
            </w:r>
          </w:p>
        </w:tc>
      </w:tr>
      <w:tr w:rsidR="00B41318" w:rsidRPr="001045B7" w14:paraId="094316A8"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79FE3CA8"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Sobre la Producción, el Consumo y las Transacciones</w:t>
            </w:r>
          </w:p>
        </w:tc>
        <w:tc>
          <w:tcPr>
            <w:tcW w:w="1520" w:type="dxa"/>
            <w:tcBorders>
              <w:top w:val="nil"/>
              <w:left w:val="nil"/>
              <w:bottom w:val="single" w:sz="4" w:space="0" w:color="auto"/>
              <w:right w:val="single" w:sz="4" w:space="0" w:color="auto"/>
            </w:tcBorders>
            <w:shd w:val="clear" w:color="auto" w:fill="auto"/>
          </w:tcPr>
          <w:p w14:paraId="296A0440" w14:textId="09386786"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333,749,786 </w:t>
            </w:r>
          </w:p>
        </w:tc>
        <w:tc>
          <w:tcPr>
            <w:tcW w:w="1520" w:type="dxa"/>
            <w:tcBorders>
              <w:top w:val="nil"/>
              <w:left w:val="nil"/>
              <w:bottom w:val="single" w:sz="4" w:space="0" w:color="auto"/>
              <w:right w:val="single" w:sz="4" w:space="0" w:color="auto"/>
            </w:tcBorders>
            <w:shd w:val="clear" w:color="auto" w:fill="auto"/>
          </w:tcPr>
          <w:p w14:paraId="6331D19B" w14:textId="0C3C0B83"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282,769,587 </w:t>
            </w:r>
          </w:p>
        </w:tc>
      </w:tr>
      <w:tr w:rsidR="00B41318" w:rsidRPr="001045B7" w14:paraId="5B8FFB9F"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6DC8DB5C"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Sobre Nóminas y Asimilables</w:t>
            </w:r>
          </w:p>
        </w:tc>
        <w:tc>
          <w:tcPr>
            <w:tcW w:w="1520" w:type="dxa"/>
            <w:tcBorders>
              <w:top w:val="nil"/>
              <w:left w:val="nil"/>
              <w:bottom w:val="single" w:sz="4" w:space="0" w:color="auto"/>
              <w:right w:val="single" w:sz="4" w:space="0" w:color="auto"/>
            </w:tcBorders>
            <w:shd w:val="clear" w:color="auto" w:fill="auto"/>
          </w:tcPr>
          <w:p w14:paraId="4D943854" w14:textId="65D84B8C"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6,018,329,248 </w:t>
            </w:r>
          </w:p>
        </w:tc>
        <w:tc>
          <w:tcPr>
            <w:tcW w:w="1520" w:type="dxa"/>
            <w:tcBorders>
              <w:top w:val="nil"/>
              <w:left w:val="nil"/>
              <w:bottom w:val="single" w:sz="4" w:space="0" w:color="auto"/>
              <w:right w:val="single" w:sz="4" w:space="0" w:color="auto"/>
            </w:tcBorders>
            <w:shd w:val="clear" w:color="auto" w:fill="auto"/>
          </w:tcPr>
          <w:p w14:paraId="4A41DB89" w14:textId="17608899"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5,340,733,963 </w:t>
            </w:r>
          </w:p>
        </w:tc>
      </w:tr>
      <w:tr w:rsidR="00B41318" w:rsidRPr="001045B7" w14:paraId="1A822D4D"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3DB4EF55"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Ecológicos</w:t>
            </w:r>
          </w:p>
        </w:tc>
        <w:tc>
          <w:tcPr>
            <w:tcW w:w="1520" w:type="dxa"/>
            <w:tcBorders>
              <w:top w:val="nil"/>
              <w:left w:val="nil"/>
              <w:bottom w:val="single" w:sz="4" w:space="0" w:color="auto"/>
              <w:right w:val="single" w:sz="4" w:space="0" w:color="auto"/>
            </w:tcBorders>
            <w:shd w:val="clear" w:color="auto" w:fill="auto"/>
          </w:tcPr>
          <w:p w14:paraId="614E7149" w14:textId="5A74FAF6"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276,912,473 </w:t>
            </w:r>
          </w:p>
        </w:tc>
        <w:tc>
          <w:tcPr>
            <w:tcW w:w="1520" w:type="dxa"/>
            <w:tcBorders>
              <w:top w:val="nil"/>
              <w:left w:val="nil"/>
              <w:bottom w:val="single" w:sz="4" w:space="0" w:color="auto"/>
              <w:right w:val="single" w:sz="4" w:space="0" w:color="auto"/>
            </w:tcBorders>
            <w:shd w:val="clear" w:color="auto" w:fill="auto"/>
          </w:tcPr>
          <w:p w14:paraId="195CDC75" w14:textId="4830EB79"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298,530,318 </w:t>
            </w:r>
          </w:p>
        </w:tc>
      </w:tr>
      <w:tr w:rsidR="00B41318" w:rsidRPr="001045B7" w14:paraId="64C87DD5"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283AB877" w14:textId="32E3B1A1"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Accesorios de Impuestos</w:t>
            </w:r>
          </w:p>
        </w:tc>
        <w:tc>
          <w:tcPr>
            <w:tcW w:w="1520" w:type="dxa"/>
            <w:tcBorders>
              <w:top w:val="nil"/>
              <w:left w:val="nil"/>
              <w:bottom w:val="single" w:sz="4" w:space="0" w:color="auto"/>
              <w:right w:val="single" w:sz="4" w:space="0" w:color="auto"/>
            </w:tcBorders>
            <w:shd w:val="clear" w:color="auto" w:fill="auto"/>
          </w:tcPr>
          <w:p w14:paraId="6FC36FFD" w14:textId="31A13E3F"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115,628,501 </w:t>
            </w:r>
          </w:p>
        </w:tc>
        <w:tc>
          <w:tcPr>
            <w:tcW w:w="1520" w:type="dxa"/>
            <w:tcBorders>
              <w:top w:val="nil"/>
              <w:left w:val="nil"/>
              <w:bottom w:val="single" w:sz="4" w:space="0" w:color="auto"/>
              <w:right w:val="single" w:sz="4" w:space="0" w:color="auto"/>
            </w:tcBorders>
            <w:shd w:val="clear" w:color="auto" w:fill="auto"/>
          </w:tcPr>
          <w:p w14:paraId="37AC370B" w14:textId="0261667E"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146,978,812 </w:t>
            </w:r>
          </w:p>
        </w:tc>
      </w:tr>
      <w:tr w:rsidR="00B41318" w:rsidRPr="001045B7" w14:paraId="395F7730"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15421E51" w14:textId="4FC38641"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Impuestos no Comprendidos en la Ley de Ingresos Vigente, Causados en Ejercicios Fiscales Anteriores Pendientes de Liquidación o Pago</w:t>
            </w:r>
          </w:p>
        </w:tc>
        <w:tc>
          <w:tcPr>
            <w:tcW w:w="1520" w:type="dxa"/>
            <w:tcBorders>
              <w:top w:val="nil"/>
              <w:left w:val="nil"/>
              <w:bottom w:val="single" w:sz="4" w:space="0" w:color="auto"/>
              <w:right w:val="single" w:sz="4" w:space="0" w:color="auto"/>
            </w:tcBorders>
            <w:shd w:val="clear" w:color="auto" w:fill="auto"/>
          </w:tcPr>
          <w:p w14:paraId="2491C3CC" w14:textId="6DA5A066"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83,502 </w:t>
            </w:r>
          </w:p>
        </w:tc>
        <w:tc>
          <w:tcPr>
            <w:tcW w:w="1520" w:type="dxa"/>
            <w:tcBorders>
              <w:top w:val="nil"/>
              <w:left w:val="nil"/>
              <w:bottom w:val="single" w:sz="4" w:space="0" w:color="auto"/>
              <w:right w:val="single" w:sz="4" w:space="0" w:color="auto"/>
            </w:tcBorders>
            <w:shd w:val="clear" w:color="auto" w:fill="auto"/>
          </w:tcPr>
          <w:p w14:paraId="07112FB2" w14:textId="060764D8"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41318" w:rsidRPr="001045B7" w14:paraId="69CAC2D6"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658A2B33" w14:textId="71CE3E2D"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Otros Impuestos</w:t>
            </w:r>
          </w:p>
        </w:tc>
        <w:tc>
          <w:tcPr>
            <w:tcW w:w="1520" w:type="dxa"/>
            <w:tcBorders>
              <w:top w:val="nil"/>
              <w:left w:val="nil"/>
              <w:bottom w:val="single" w:sz="4" w:space="0" w:color="auto"/>
              <w:right w:val="single" w:sz="4" w:space="0" w:color="auto"/>
            </w:tcBorders>
            <w:shd w:val="clear" w:color="auto" w:fill="auto"/>
          </w:tcPr>
          <w:p w14:paraId="00A81F52" w14:textId="75D4DC4F"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520" w:type="dxa"/>
            <w:tcBorders>
              <w:top w:val="nil"/>
              <w:left w:val="nil"/>
              <w:bottom w:val="single" w:sz="4" w:space="0" w:color="auto"/>
              <w:right w:val="single" w:sz="4" w:space="0" w:color="auto"/>
            </w:tcBorders>
            <w:shd w:val="clear" w:color="auto" w:fill="auto"/>
          </w:tcPr>
          <w:p w14:paraId="4CC62D75" w14:textId="71B9A756"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93,020 </w:t>
            </w:r>
          </w:p>
        </w:tc>
      </w:tr>
      <w:tr w:rsidR="00B41318" w:rsidRPr="001045B7" w14:paraId="0DA27273"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61FD31F3"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Cuotas y Aportaciones de Seguridad Social</w:t>
            </w:r>
          </w:p>
        </w:tc>
        <w:tc>
          <w:tcPr>
            <w:tcW w:w="1520" w:type="dxa"/>
            <w:tcBorders>
              <w:top w:val="nil"/>
              <w:left w:val="nil"/>
              <w:bottom w:val="single" w:sz="4" w:space="0" w:color="auto"/>
              <w:right w:val="single" w:sz="4" w:space="0" w:color="auto"/>
            </w:tcBorders>
            <w:shd w:val="clear" w:color="auto" w:fill="auto"/>
          </w:tcPr>
          <w:p w14:paraId="497232AF" w14:textId="3AE2A6BB"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   </w:t>
            </w:r>
          </w:p>
        </w:tc>
        <w:tc>
          <w:tcPr>
            <w:tcW w:w="1520" w:type="dxa"/>
            <w:tcBorders>
              <w:top w:val="nil"/>
              <w:left w:val="nil"/>
              <w:bottom w:val="single" w:sz="4" w:space="0" w:color="auto"/>
              <w:right w:val="single" w:sz="4" w:space="0" w:color="auto"/>
            </w:tcBorders>
            <w:shd w:val="clear" w:color="auto" w:fill="auto"/>
          </w:tcPr>
          <w:p w14:paraId="3D0F43A2" w14:textId="7443DABD"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   </w:t>
            </w:r>
          </w:p>
        </w:tc>
      </w:tr>
      <w:tr w:rsidR="00B41318" w:rsidRPr="001045B7" w14:paraId="36C5595F"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2C0D5C07"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Contribuciones de Mejoras</w:t>
            </w:r>
          </w:p>
        </w:tc>
        <w:tc>
          <w:tcPr>
            <w:tcW w:w="1520" w:type="dxa"/>
            <w:tcBorders>
              <w:top w:val="nil"/>
              <w:left w:val="nil"/>
              <w:bottom w:val="single" w:sz="4" w:space="0" w:color="auto"/>
              <w:right w:val="single" w:sz="4" w:space="0" w:color="auto"/>
            </w:tcBorders>
            <w:shd w:val="clear" w:color="auto" w:fill="auto"/>
          </w:tcPr>
          <w:p w14:paraId="17903F81" w14:textId="1F47CA0E"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   </w:t>
            </w:r>
          </w:p>
        </w:tc>
        <w:tc>
          <w:tcPr>
            <w:tcW w:w="1520" w:type="dxa"/>
            <w:tcBorders>
              <w:top w:val="nil"/>
              <w:left w:val="nil"/>
              <w:bottom w:val="single" w:sz="4" w:space="0" w:color="auto"/>
              <w:right w:val="single" w:sz="4" w:space="0" w:color="auto"/>
            </w:tcBorders>
            <w:shd w:val="clear" w:color="auto" w:fill="auto"/>
          </w:tcPr>
          <w:p w14:paraId="13E0EBDE" w14:textId="6B9CCA31"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   </w:t>
            </w:r>
          </w:p>
        </w:tc>
      </w:tr>
      <w:tr w:rsidR="00B41318" w:rsidRPr="001045B7" w14:paraId="78578CE4"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4C02746B"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Derechos</w:t>
            </w:r>
          </w:p>
        </w:tc>
        <w:tc>
          <w:tcPr>
            <w:tcW w:w="1520" w:type="dxa"/>
            <w:tcBorders>
              <w:top w:val="nil"/>
              <w:left w:val="nil"/>
              <w:bottom w:val="single" w:sz="4" w:space="0" w:color="auto"/>
              <w:right w:val="single" w:sz="4" w:space="0" w:color="auto"/>
            </w:tcBorders>
            <w:shd w:val="clear" w:color="auto" w:fill="auto"/>
          </w:tcPr>
          <w:p w14:paraId="1538FDB9" w14:textId="501359EA"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2,734,257,058 </w:t>
            </w:r>
          </w:p>
        </w:tc>
        <w:tc>
          <w:tcPr>
            <w:tcW w:w="1520" w:type="dxa"/>
            <w:tcBorders>
              <w:top w:val="nil"/>
              <w:left w:val="nil"/>
              <w:bottom w:val="single" w:sz="4" w:space="0" w:color="auto"/>
              <w:right w:val="single" w:sz="4" w:space="0" w:color="auto"/>
            </w:tcBorders>
            <w:shd w:val="clear" w:color="auto" w:fill="auto"/>
          </w:tcPr>
          <w:p w14:paraId="466A554F" w14:textId="286ACBAB"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2,526,901,202 </w:t>
            </w:r>
          </w:p>
        </w:tc>
      </w:tr>
      <w:tr w:rsidR="00B41318" w:rsidRPr="001045B7" w14:paraId="66AC7D7B"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51C4F4D2"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Derechos por el Uso, Goce, Aprovechamiento o Explotación de Bienes de Dominio Público</w:t>
            </w:r>
          </w:p>
        </w:tc>
        <w:tc>
          <w:tcPr>
            <w:tcW w:w="1520" w:type="dxa"/>
            <w:tcBorders>
              <w:top w:val="nil"/>
              <w:left w:val="nil"/>
              <w:bottom w:val="single" w:sz="4" w:space="0" w:color="auto"/>
              <w:right w:val="single" w:sz="4" w:space="0" w:color="auto"/>
            </w:tcBorders>
            <w:shd w:val="clear" w:color="auto" w:fill="auto"/>
          </w:tcPr>
          <w:p w14:paraId="0BF10F02" w14:textId="33F18889"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44,533,068 </w:t>
            </w:r>
          </w:p>
        </w:tc>
        <w:tc>
          <w:tcPr>
            <w:tcW w:w="1520" w:type="dxa"/>
            <w:tcBorders>
              <w:top w:val="nil"/>
              <w:left w:val="nil"/>
              <w:bottom w:val="single" w:sz="4" w:space="0" w:color="auto"/>
              <w:right w:val="single" w:sz="4" w:space="0" w:color="auto"/>
            </w:tcBorders>
            <w:shd w:val="clear" w:color="auto" w:fill="auto"/>
          </w:tcPr>
          <w:p w14:paraId="39D976BA" w14:textId="7B9F63E3"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34,156,013 </w:t>
            </w:r>
          </w:p>
        </w:tc>
      </w:tr>
      <w:tr w:rsidR="00B41318" w:rsidRPr="001045B7" w14:paraId="68642BC0"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0256D591"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Derechos por Prestación de Servicios</w:t>
            </w:r>
          </w:p>
        </w:tc>
        <w:tc>
          <w:tcPr>
            <w:tcW w:w="1520" w:type="dxa"/>
            <w:tcBorders>
              <w:top w:val="nil"/>
              <w:left w:val="nil"/>
              <w:bottom w:val="single" w:sz="4" w:space="0" w:color="auto"/>
              <w:right w:val="single" w:sz="4" w:space="0" w:color="auto"/>
            </w:tcBorders>
            <w:shd w:val="clear" w:color="auto" w:fill="auto"/>
          </w:tcPr>
          <w:p w14:paraId="584BD525" w14:textId="0BA7A7FB"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2,647,642,395 </w:t>
            </w:r>
          </w:p>
        </w:tc>
        <w:tc>
          <w:tcPr>
            <w:tcW w:w="1520" w:type="dxa"/>
            <w:tcBorders>
              <w:top w:val="nil"/>
              <w:left w:val="nil"/>
              <w:bottom w:val="single" w:sz="4" w:space="0" w:color="auto"/>
              <w:right w:val="single" w:sz="4" w:space="0" w:color="auto"/>
            </w:tcBorders>
            <w:shd w:val="clear" w:color="auto" w:fill="auto"/>
          </w:tcPr>
          <w:p w14:paraId="703CD27E" w14:textId="7D50D080"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2,454,269,217 </w:t>
            </w:r>
          </w:p>
        </w:tc>
      </w:tr>
      <w:tr w:rsidR="00B41318" w:rsidRPr="001045B7" w14:paraId="002B45B2"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65EF47E1"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Accesorios de Derechos</w:t>
            </w:r>
          </w:p>
        </w:tc>
        <w:tc>
          <w:tcPr>
            <w:tcW w:w="1520" w:type="dxa"/>
            <w:tcBorders>
              <w:top w:val="nil"/>
              <w:left w:val="nil"/>
              <w:bottom w:val="single" w:sz="4" w:space="0" w:color="auto"/>
              <w:right w:val="single" w:sz="4" w:space="0" w:color="auto"/>
            </w:tcBorders>
            <w:shd w:val="clear" w:color="auto" w:fill="auto"/>
          </w:tcPr>
          <w:p w14:paraId="27A5687E" w14:textId="778255A9"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42,080,909 </w:t>
            </w:r>
          </w:p>
        </w:tc>
        <w:tc>
          <w:tcPr>
            <w:tcW w:w="1520" w:type="dxa"/>
            <w:tcBorders>
              <w:top w:val="nil"/>
              <w:left w:val="nil"/>
              <w:bottom w:val="single" w:sz="4" w:space="0" w:color="auto"/>
              <w:right w:val="single" w:sz="4" w:space="0" w:color="auto"/>
            </w:tcBorders>
            <w:shd w:val="clear" w:color="auto" w:fill="auto"/>
          </w:tcPr>
          <w:p w14:paraId="0FA676E1" w14:textId="1DF3EBE3"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38,475,972 </w:t>
            </w:r>
          </w:p>
        </w:tc>
      </w:tr>
      <w:tr w:rsidR="00B41318" w:rsidRPr="001045B7" w14:paraId="2D3D4E96"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4A002366" w14:textId="071FD7C1"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Derechos no Comprendidos en la Ley de Ingresos Vigente, Causados en Ejercicios Fiscales Anteriores Pendientes de Liquidación o Pago</w:t>
            </w:r>
          </w:p>
        </w:tc>
        <w:tc>
          <w:tcPr>
            <w:tcW w:w="1520" w:type="dxa"/>
            <w:tcBorders>
              <w:top w:val="nil"/>
              <w:left w:val="nil"/>
              <w:bottom w:val="single" w:sz="4" w:space="0" w:color="auto"/>
              <w:right w:val="single" w:sz="4" w:space="0" w:color="auto"/>
            </w:tcBorders>
            <w:shd w:val="clear" w:color="auto" w:fill="auto"/>
          </w:tcPr>
          <w:p w14:paraId="025ADF71" w14:textId="58308EE7"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686 </w:t>
            </w:r>
          </w:p>
        </w:tc>
        <w:tc>
          <w:tcPr>
            <w:tcW w:w="1520" w:type="dxa"/>
            <w:tcBorders>
              <w:top w:val="nil"/>
              <w:left w:val="nil"/>
              <w:bottom w:val="single" w:sz="4" w:space="0" w:color="auto"/>
              <w:right w:val="single" w:sz="4" w:space="0" w:color="auto"/>
            </w:tcBorders>
            <w:shd w:val="clear" w:color="auto" w:fill="auto"/>
          </w:tcPr>
          <w:p w14:paraId="733AAE4A" w14:textId="123DE3AD"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41318" w:rsidRPr="001045B7" w14:paraId="631FDA7A"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171D7ABC"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Productos</w:t>
            </w:r>
          </w:p>
        </w:tc>
        <w:tc>
          <w:tcPr>
            <w:tcW w:w="1520" w:type="dxa"/>
            <w:tcBorders>
              <w:top w:val="nil"/>
              <w:left w:val="nil"/>
              <w:bottom w:val="single" w:sz="4" w:space="0" w:color="auto"/>
              <w:right w:val="single" w:sz="4" w:space="0" w:color="auto"/>
            </w:tcBorders>
            <w:shd w:val="clear" w:color="auto" w:fill="auto"/>
          </w:tcPr>
          <w:p w14:paraId="60FA3332" w14:textId="130FC856"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1,036,905,400 </w:t>
            </w:r>
          </w:p>
        </w:tc>
        <w:tc>
          <w:tcPr>
            <w:tcW w:w="1520" w:type="dxa"/>
            <w:tcBorders>
              <w:top w:val="nil"/>
              <w:left w:val="nil"/>
              <w:bottom w:val="single" w:sz="4" w:space="0" w:color="auto"/>
              <w:right w:val="single" w:sz="4" w:space="0" w:color="auto"/>
            </w:tcBorders>
            <w:shd w:val="clear" w:color="auto" w:fill="auto"/>
          </w:tcPr>
          <w:p w14:paraId="798AF682" w14:textId="18EE860C"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932,316,697 </w:t>
            </w:r>
          </w:p>
        </w:tc>
      </w:tr>
      <w:tr w:rsidR="00B41318" w:rsidRPr="001045B7" w14:paraId="72A82ADE" w14:textId="77777777" w:rsidTr="00B41318">
        <w:trPr>
          <w:trHeight w:val="104"/>
          <w:jc w:val="center"/>
        </w:trPr>
        <w:tc>
          <w:tcPr>
            <w:tcW w:w="7445" w:type="dxa"/>
            <w:tcBorders>
              <w:top w:val="nil"/>
              <w:left w:val="single" w:sz="4" w:space="0" w:color="auto"/>
              <w:bottom w:val="single" w:sz="4" w:space="0" w:color="auto"/>
              <w:right w:val="single" w:sz="4" w:space="0" w:color="auto"/>
            </w:tcBorders>
            <w:shd w:val="clear" w:color="auto" w:fill="auto"/>
          </w:tcPr>
          <w:p w14:paraId="580D60E5"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 xml:space="preserve">Productos </w:t>
            </w:r>
          </w:p>
        </w:tc>
        <w:tc>
          <w:tcPr>
            <w:tcW w:w="1520" w:type="dxa"/>
            <w:tcBorders>
              <w:top w:val="nil"/>
              <w:left w:val="nil"/>
              <w:bottom w:val="single" w:sz="4" w:space="0" w:color="auto"/>
              <w:right w:val="single" w:sz="4" w:space="0" w:color="auto"/>
            </w:tcBorders>
            <w:shd w:val="clear" w:color="auto" w:fill="auto"/>
          </w:tcPr>
          <w:p w14:paraId="144B2495" w14:textId="407F8E60"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1,036,905,400 </w:t>
            </w:r>
          </w:p>
        </w:tc>
        <w:tc>
          <w:tcPr>
            <w:tcW w:w="1520" w:type="dxa"/>
            <w:tcBorders>
              <w:top w:val="nil"/>
              <w:left w:val="nil"/>
              <w:bottom w:val="single" w:sz="4" w:space="0" w:color="auto"/>
              <w:right w:val="single" w:sz="4" w:space="0" w:color="auto"/>
            </w:tcBorders>
            <w:shd w:val="clear" w:color="auto" w:fill="auto"/>
          </w:tcPr>
          <w:p w14:paraId="21C7377B" w14:textId="3F7BD8F7"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932,316,697 </w:t>
            </w:r>
          </w:p>
        </w:tc>
      </w:tr>
      <w:tr w:rsidR="00B41318" w:rsidRPr="001045B7" w14:paraId="1C2FFA97"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388187E7" w14:textId="77777777" w:rsidR="00B41318" w:rsidRPr="001045B7" w:rsidRDefault="00B41318" w:rsidP="00B41318">
            <w:pPr>
              <w:rPr>
                <w:rFonts w:asciiTheme="minorHAnsi" w:hAnsiTheme="minorHAnsi" w:cstheme="minorHAnsi"/>
                <w:b/>
                <w:sz w:val="17"/>
                <w:szCs w:val="17"/>
              </w:rPr>
            </w:pPr>
            <w:r w:rsidRPr="001045B7">
              <w:rPr>
                <w:rFonts w:asciiTheme="minorHAnsi" w:hAnsiTheme="minorHAnsi" w:cstheme="minorHAnsi"/>
                <w:b/>
                <w:sz w:val="17"/>
                <w:szCs w:val="17"/>
              </w:rPr>
              <w:t>Aprovechamientos</w:t>
            </w:r>
          </w:p>
        </w:tc>
        <w:tc>
          <w:tcPr>
            <w:tcW w:w="1520" w:type="dxa"/>
            <w:tcBorders>
              <w:top w:val="nil"/>
              <w:left w:val="nil"/>
              <w:bottom w:val="single" w:sz="4" w:space="0" w:color="auto"/>
              <w:right w:val="single" w:sz="4" w:space="0" w:color="auto"/>
            </w:tcBorders>
            <w:shd w:val="clear" w:color="auto" w:fill="auto"/>
          </w:tcPr>
          <w:p w14:paraId="5C476921" w14:textId="120D735B"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2,617,891,441 </w:t>
            </w:r>
          </w:p>
        </w:tc>
        <w:tc>
          <w:tcPr>
            <w:tcW w:w="1520" w:type="dxa"/>
            <w:tcBorders>
              <w:top w:val="nil"/>
              <w:left w:val="nil"/>
              <w:bottom w:val="single" w:sz="4" w:space="0" w:color="auto"/>
              <w:right w:val="single" w:sz="4" w:space="0" w:color="auto"/>
            </w:tcBorders>
            <w:shd w:val="clear" w:color="auto" w:fill="auto"/>
          </w:tcPr>
          <w:p w14:paraId="3A990A61" w14:textId="454B92AA"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307,382,708 </w:t>
            </w:r>
          </w:p>
        </w:tc>
      </w:tr>
      <w:tr w:rsidR="00B41318" w:rsidRPr="001045B7" w14:paraId="52136D36"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177D2B83"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Multas</w:t>
            </w:r>
          </w:p>
        </w:tc>
        <w:tc>
          <w:tcPr>
            <w:tcW w:w="1520" w:type="dxa"/>
            <w:tcBorders>
              <w:top w:val="nil"/>
              <w:left w:val="nil"/>
              <w:bottom w:val="single" w:sz="4" w:space="0" w:color="auto"/>
              <w:right w:val="single" w:sz="4" w:space="0" w:color="auto"/>
            </w:tcBorders>
            <w:shd w:val="clear" w:color="auto" w:fill="auto"/>
          </w:tcPr>
          <w:p w14:paraId="37FB01C7" w14:textId="48D51003"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168,950,061 </w:t>
            </w:r>
          </w:p>
        </w:tc>
        <w:tc>
          <w:tcPr>
            <w:tcW w:w="1520" w:type="dxa"/>
            <w:tcBorders>
              <w:top w:val="nil"/>
              <w:left w:val="nil"/>
              <w:bottom w:val="single" w:sz="4" w:space="0" w:color="auto"/>
              <w:right w:val="single" w:sz="4" w:space="0" w:color="auto"/>
            </w:tcBorders>
            <w:shd w:val="clear" w:color="auto" w:fill="auto"/>
          </w:tcPr>
          <w:p w14:paraId="33800A2F" w14:textId="56EA8B2A"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173,541,016 </w:t>
            </w:r>
          </w:p>
        </w:tc>
      </w:tr>
      <w:tr w:rsidR="00B41318" w:rsidRPr="001045B7" w14:paraId="5E4D0A2B"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4E519D0A"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Indemnizaciones</w:t>
            </w:r>
          </w:p>
        </w:tc>
        <w:tc>
          <w:tcPr>
            <w:tcW w:w="1520" w:type="dxa"/>
            <w:tcBorders>
              <w:top w:val="nil"/>
              <w:left w:val="nil"/>
              <w:bottom w:val="single" w:sz="4" w:space="0" w:color="auto"/>
              <w:right w:val="single" w:sz="4" w:space="0" w:color="auto"/>
            </w:tcBorders>
            <w:shd w:val="clear" w:color="auto" w:fill="auto"/>
          </w:tcPr>
          <w:p w14:paraId="2C025C1B" w14:textId="63DBE9AB"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1,110,296 </w:t>
            </w:r>
          </w:p>
        </w:tc>
        <w:tc>
          <w:tcPr>
            <w:tcW w:w="1520" w:type="dxa"/>
            <w:tcBorders>
              <w:top w:val="nil"/>
              <w:left w:val="nil"/>
              <w:bottom w:val="single" w:sz="4" w:space="0" w:color="auto"/>
              <w:right w:val="single" w:sz="4" w:space="0" w:color="auto"/>
            </w:tcBorders>
            <w:shd w:val="clear" w:color="auto" w:fill="auto"/>
          </w:tcPr>
          <w:p w14:paraId="7194389E" w14:textId="48381062"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1,669,227 </w:t>
            </w:r>
          </w:p>
        </w:tc>
      </w:tr>
      <w:tr w:rsidR="00B41318" w:rsidRPr="001045B7" w14:paraId="37B6B284"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162741D7" w14:textId="3CBF0A5E"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Reintegros</w:t>
            </w:r>
          </w:p>
        </w:tc>
        <w:tc>
          <w:tcPr>
            <w:tcW w:w="1520" w:type="dxa"/>
            <w:tcBorders>
              <w:top w:val="nil"/>
              <w:left w:val="nil"/>
              <w:bottom w:val="single" w:sz="4" w:space="0" w:color="auto"/>
              <w:right w:val="single" w:sz="4" w:space="0" w:color="auto"/>
            </w:tcBorders>
            <w:shd w:val="clear" w:color="auto" w:fill="auto"/>
          </w:tcPr>
          <w:p w14:paraId="7B1584C2" w14:textId="12FB4DB5"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3,265,504 </w:t>
            </w:r>
          </w:p>
        </w:tc>
        <w:tc>
          <w:tcPr>
            <w:tcW w:w="1520" w:type="dxa"/>
            <w:tcBorders>
              <w:top w:val="nil"/>
              <w:left w:val="nil"/>
              <w:bottom w:val="single" w:sz="4" w:space="0" w:color="auto"/>
              <w:right w:val="single" w:sz="4" w:space="0" w:color="auto"/>
            </w:tcBorders>
            <w:shd w:val="clear" w:color="auto" w:fill="auto"/>
          </w:tcPr>
          <w:p w14:paraId="0392F466" w14:textId="45EAAF61"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41318" w:rsidRPr="001045B7" w14:paraId="1F0A28EF"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4C8C0EBA" w14:textId="77777777"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Aprovechamientos Provenientes de Obras Públicas</w:t>
            </w:r>
          </w:p>
        </w:tc>
        <w:tc>
          <w:tcPr>
            <w:tcW w:w="1520" w:type="dxa"/>
            <w:tcBorders>
              <w:top w:val="nil"/>
              <w:left w:val="nil"/>
              <w:bottom w:val="single" w:sz="4" w:space="0" w:color="auto"/>
              <w:right w:val="single" w:sz="4" w:space="0" w:color="auto"/>
            </w:tcBorders>
            <w:shd w:val="clear" w:color="auto" w:fill="auto"/>
          </w:tcPr>
          <w:p w14:paraId="341DE01F" w14:textId="3DD4F2D1"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17,651,931 </w:t>
            </w:r>
          </w:p>
        </w:tc>
        <w:tc>
          <w:tcPr>
            <w:tcW w:w="1520" w:type="dxa"/>
            <w:tcBorders>
              <w:top w:val="nil"/>
              <w:left w:val="nil"/>
              <w:bottom w:val="single" w:sz="4" w:space="0" w:color="auto"/>
              <w:right w:val="single" w:sz="4" w:space="0" w:color="auto"/>
            </w:tcBorders>
            <w:shd w:val="clear" w:color="auto" w:fill="auto"/>
          </w:tcPr>
          <w:p w14:paraId="792BC3F9" w14:textId="5AAA43E8"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20,607,521 </w:t>
            </w:r>
          </w:p>
        </w:tc>
      </w:tr>
      <w:tr w:rsidR="00290543" w:rsidRPr="001045B7" w14:paraId="3E041079" w14:textId="77777777" w:rsidTr="00223FE4">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54600885" w14:textId="7658A05D" w:rsidR="00290543" w:rsidRPr="001045B7" w:rsidRDefault="00290543" w:rsidP="00223FE4">
            <w:pPr>
              <w:ind w:left="634"/>
              <w:rPr>
                <w:rFonts w:asciiTheme="minorHAnsi" w:hAnsiTheme="minorHAnsi" w:cstheme="minorHAnsi"/>
                <w:sz w:val="17"/>
                <w:szCs w:val="17"/>
              </w:rPr>
            </w:pPr>
            <w:r w:rsidRPr="001045B7">
              <w:rPr>
                <w:rFonts w:asciiTheme="minorHAnsi" w:hAnsiTheme="minorHAnsi" w:cstheme="minorHAnsi"/>
                <w:sz w:val="17"/>
                <w:szCs w:val="17"/>
              </w:rPr>
              <w:t>Otros Aprovechamientos*</w:t>
            </w:r>
          </w:p>
        </w:tc>
        <w:tc>
          <w:tcPr>
            <w:tcW w:w="1520" w:type="dxa"/>
            <w:tcBorders>
              <w:top w:val="nil"/>
              <w:left w:val="nil"/>
              <w:bottom w:val="single" w:sz="4" w:space="0" w:color="auto"/>
              <w:right w:val="single" w:sz="4" w:space="0" w:color="auto"/>
            </w:tcBorders>
            <w:shd w:val="clear" w:color="auto" w:fill="auto"/>
          </w:tcPr>
          <w:p w14:paraId="0333B840" w14:textId="77777777" w:rsidR="00290543" w:rsidRPr="001045B7" w:rsidRDefault="00290543" w:rsidP="00223FE4">
            <w:pPr>
              <w:jc w:val="right"/>
              <w:rPr>
                <w:rFonts w:asciiTheme="minorHAnsi" w:hAnsiTheme="minorHAnsi" w:cstheme="minorHAnsi"/>
                <w:sz w:val="17"/>
                <w:szCs w:val="17"/>
              </w:rPr>
            </w:pPr>
            <w:r w:rsidRPr="001045B7">
              <w:rPr>
                <w:rFonts w:asciiTheme="minorHAnsi" w:hAnsiTheme="minorHAnsi" w:cstheme="minorHAnsi"/>
                <w:sz w:val="17"/>
                <w:szCs w:val="17"/>
              </w:rPr>
              <w:t xml:space="preserve"> 2,425,963,650 </w:t>
            </w:r>
          </w:p>
        </w:tc>
        <w:tc>
          <w:tcPr>
            <w:tcW w:w="1520" w:type="dxa"/>
            <w:tcBorders>
              <w:top w:val="nil"/>
              <w:left w:val="nil"/>
              <w:bottom w:val="single" w:sz="4" w:space="0" w:color="auto"/>
              <w:right w:val="single" w:sz="4" w:space="0" w:color="auto"/>
            </w:tcBorders>
            <w:shd w:val="clear" w:color="auto" w:fill="auto"/>
          </w:tcPr>
          <w:p w14:paraId="7230323C" w14:textId="77777777" w:rsidR="00290543" w:rsidRPr="001045B7" w:rsidRDefault="00290543" w:rsidP="00223FE4">
            <w:pPr>
              <w:jc w:val="right"/>
              <w:rPr>
                <w:rFonts w:asciiTheme="minorHAnsi" w:hAnsiTheme="minorHAnsi" w:cstheme="minorHAnsi"/>
                <w:sz w:val="17"/>
                <w:szCs w:val="17"/>
              </w:rPr>
            </w:pPr>
            <w:r w:rsidRPr="001045B7">
              <w:rPr>
                <w:rFonts w:asciiTheme="minorHAnsi" w:hAnsiTheme="minorHAnsi" w:cstheme="minorHAnsi"/>
                <w:sz w:val="17"/>
                <w:szCs w:val="17"/>
              </w:rPr>
              <w:t xml:space="preserve"> 111,564,944 </w:t>
            </w:r>
          </w:p>
        </w:tc>
      </w:tr>
      <w:tr w:rsidR="00B41318" w:rsidRPr="001045B7" w14:paraId="7295556E"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36C62BC9" w14:textId="716EAD41" w:rsidR="00B41318" w:rsidRPr="001045B7" w:rsidRDefault="00B41318" w:rsidP="00B41318">
            <w:pPr>
              <w:ind w:left="634"/>
              <w:rPr>
                <w:rFonts w:asciiTheme="minorHAnsi" w:hAnsiTheme="minorHAnsi" w:cstheme="minorHAnsi"/>
                <w:sz w:val="17"/>
                <w:szCs w:val="17"/>
              </w:rPr>
            </w:pPr>
            <w:r w:rsidRPr="001045B7">
              <w:rPr>
                <w:rFonts w:asciiTheme="minorHAnsi" w:hAnsiTheme="minorHAnsi" w:cstheme="minorHAnsi"/>
                <w:sz w:val="17"/>
                <w:szCs w:val="17"/>
              </w:rPr>
              <w:t>Accesorios de Aprovechamientos</w:t>
            </w:r>
          </w:p>
        </w:tc>
        <w:tc>
          <w:tcPr>
            <w:tcW w:w="1520" w:type="dxa"/>
            <w:tcBorders>
              <w:top w:val="nil"/>
              <w:left w:val="nil"/>
              <w:bottom w:val="single" w:sz="4" w:space="0" w:color="auto"/>
              <w:right w:val="single" w:sz="4" w:space="0" w:color="auto"/>
            </w:tcBorders>
            <w:shd w:val="clear" w:color="auto" w:fill="auto"/>
          </w:tcPr>
          <w:p w14:paraId="6B8A7BFC" w14:textId="6F309E53"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949,999 </w:t>
            </w:r>
          </w:p>
        </w:tc>
        <w:tc>
          <w:tcPr>
            <w:tcW w:w="1520" w:type="dxa"/>
            <w:tcBorders>
              <w:top w:val="nil"/>
              <w:left w:val="nil"/>
              <w:bottom w:val="single" w:sz="4" w:space="0" w:color="auto"/>
              <w:right w:val="single" w:sz="4" w:space="0" w:color="auto"/>
            </w:tcBorders>
            <w:shd w:val="clear" w:color="auto" w:fill="auto"/>
          </w:tcPr>
          <w:p w14:paraId="3AC354B4" w14:textId="4C2C456E" w:rsidR="00B41318" w:rsidRPr="001045B7" w:rsidRDefault="00B41318" w:rsidP="00B41318">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6179C8" w:rsidRPr="001045B7" w14:paraId="6A7167A4" w14:textId="77777777" w:rsidTr="00B41318">
        <w:trPr>
          <w:trHeight w:val="238"/>
          <w:jc w:val="center"/>
        </w:trPr>
        <w:tc>
          <w:tcPr>
            <w:tcW w:w="7445" w:type="dxa"/>
            <w:tcBorders>
              <w:top w:val="nil"/>
              <w:left w:val="single" w:sz="4" w:space="0" w:color="auto"/>
              <w:bottom w:val="single" w:sz="4" w:space="0" w:color="auto"/>
              <w:right w:val="single" w:sz="4" w:space="0" w:color="auto"/>
            </w:tcBorders>
            <w:shd w:val="clear" w:color="auto" w:fill="auto"/>
          </w:tcPr>
          <w:p w14:paraId="3B8E19BE" w14:textId="77777777" w:rsidR="006179C8" w:rsidRPr="001045B7" w:rsidRDefault="006179C8" w:rsidP="006179C8">
            <w:pPr>
              <w:rPr>
                <w:rFonts w:asciiTheme="minorHAnsi" w:hAnsiTheme="minorHAnsi" w:cstheme="minorHAnsi"/>
                <w:b/>
                <w:sz w:val="17"/>
                <w:szCs w:val="17"/>
              </w:rPr>
            </w:pPr>
            <w:r w:rsidRPr="001045B7">
              <w:rPr>
                <w:rFonts w:asciiTheme="minorHAnsi" w:hAnsiTheme="minorHAnsi" w:cstheme="minorHAnsi"/>
                <w:b/>
                <w:sz w:val="17"/>
                <w:szCs w:val="17"/>
              </w:rPr>
              <w:t>Ingresos por Venta de Bienes y Servicios</w:t>
            </w:r>
          </w:p>
        </w:tc>
        <w:tc>
          <w:tcPr>
            <w:tcW w:w="1520" w:type="dxa"/>
            <w:tcBorders>
              <w:top w:val="nil"/>
              <w:left w:val="nil"/>
              <w:bottom w:val="single" w:sz="4" w:space="0" w:color="auto"/>
              <w:right w:val="single" w:sz="4" w:space="0" w:color="auto"/>
            </w:tcBorders>
            <w:shd w:val="clear" w:color="auto" w:fill="auto"/>
          </w:tcPr>
          <w:p w14:paraId="557E6444" w14:textId="0487D4E4" w:rsidR="006179C8" w:rsidRPr="001045B7" w:rsidRDefault="0010670B" w:rsidP="006179C8">
            <w:pPr>
              <w:jc w:val="right"/>
              <w:rPr>
                <w:rFonts w:asciiTheme="minorHAnsi" w:hAnsiTheme="minorHAnsi" w:cstheme="minorHAnsi"/>
                <w:b/>
                <w:bCs/>
                <w:sz w:val="17"/>
                <w:szCs w:val="17"/>
              </w:rPr>
            </w:pPr>
            <w:r w:rsidRPr="001045B7">
              <w:rPr>
                <w:rFonts w:asciiTheme="minorHAnsi" w:hAnsiTheme="minorHAnsi" w:cstheme="minorHAnsi"/>
                <w:b/>
                <w:bCs/>
                <w:sz w:val="17"/>
                <w:szCs w:val="17"/>
              </w:rPr>
              <w:t>-</w:t>
            </w:r>
          </w:p>
        </w:tc>
        <w:tc>
          <w:tcPr>
            <w:tcW w:w="1520" w:type="dxa"/>
            <w:tcBorders>
              <w:top w:val="nil"/>
              <w:left w:val="nil"/>
              <w:bottom w:val="single" w:sz="4" w:space="0" w:color="auto"/>
              <w:right w:val="single" w:sz="4" w:space="0" w:color="auto"/>
            </w:tcBorders>
            <w:shd w:val="clear" w:color="auto" w:fill="auto"/>
          </w:tcPr>
          <w:p w14:paraId="6CD9612A" w14:textId="2FA732D6" w:rsidR="006179C8" w:rsidRPr="001045B7" w:rsidRDefault="0010670B" w:rsidP="006179C8">
            <w:pPr>
              <w:jc w:val="right"/>
              <w:rPr>
                <w:rFonts w:asciiTheme="minorHAnsi" w:hAnsiTheme="minorHAnsi" w:cstheme="minorHAnsi"/>
                <w:b/>
                <w:bCs/>
                <w:sz w:val="17"/>
                <w:szCs w:val="17"/>
              </w:rPr>
            </w:pPr>
            <w:r w:rsidRPr="001045B7">
              <w:rPr>
                <w:rFonts w:asciiTheme="minorHAnsi" w:hAnsiTheme="minorHAnsi" w:cstheme="minorHAnsi"/>
                <w:b/>
                <w:bCs/>
                <w:sz w:val="17"/>
                <w:szCs w:val="17"/>
              </w:rPr>
              <w:t>-</w:t>
            </w:r>
          </w:p>
        </w:tc>
      </w:tr>
      <w:tr w:rsidR="00B41318" w:rsidRPr="001045B7" w14:paraId="01B9A830" w14:textId="77777777" w:rsidTr="00B41318">
        <w:trPr>
          <w:trHeight w:val="238"/>
          <w:jc w:val="center"/>
        </w:trPr>
        <w:tc>
          <w:tcPr>
            <w:tcW w:w="7445"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268C5099" w14:textId="77777777" w:rsidR="00B41318" w:rsidRPr="001045B7" w:rsidRDefault="00B41318" w:rsidP="00B41318">
            <w:pPr>
              <w:jc w:val="both"/>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Ingresos de Gestión</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CBB05" w14:textId="4AE77827"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13,589,787,808 </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noWrap/>
          </w:tcPr>
          <w:p w14:paraId="4D9FACEC" w14:textId="703A7BAF" w:rsidR="00B41318" w:rsidRPr="001045B7" w:rsidRDefault="00B41318" w:rsidP="00B41318">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10,218,773,941 </w:t>
            </w:r>
          </w:p>
        </w:tc>
      </w:tr>
    </w:tbl>
    <w:p w14:paraId="7F941EF8" w14:textId="343AECE8" w:rsidR="00290543" w:rsidRPr="001045B7" w:rsidRDefault="00290543" w:rsidP="0029054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Al cierre del ejercicio fiscal 2024 (dos mil veinticuatro), los ingresos de gestión superan a la recaudación en el mismo periodo del ejercicio fiscal 2023 (dos mil veintitrés) con un importe de 3,371,013,866 (Tres mil trescientos setenta y un millones trece mil ochocientos sesenta y seis). </w:t>
      </w:r>
    </w:p>
    <w:p w14:paraId="7074FA90" w14:textId="77777777" w:rsidR="00290543" w:rsidRPr="001045B7" w:rsidRDefault="00290543" w:rsidP="00290543">
      <w:pPr>
        <w:spacing w:line="276" w:lineRule="auto"/>
        <w:jc w:val="both"/>
        <w:rPr>
          <w:rFonts w:asciiTheme="minorHAnsi" w:hAnsiTheme="minorHAnsi" w:cstheme="minorHAnsi"/>
          <w:sz w:val="17"/>
          <w:szCs w:val="17"/>
        </w:rPr>
      </w:pPr>
    </w:p>
    <w:p w14:paraId="4F892D2B" w14:textId="06CC5F37" w:rsidR="009C739A" w:rsidRPr="001045B7" w:rsidRDefault="00290543" w:rsidP="0029054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actualización de las reformas fiscales implementadas, tales como, el cambio de tasa del ISN en el ejercicio fiscal 2022 (dos mil veintidós), la incorporación de impuestos ecológicos, la actualización de la tasa del ISH y el mejor aprovechamiento de los medios alternos de pago, mantienen a la recaudación con una tendencia positiva de crecimiento. Asimismo, es relevante mencionar que</w:t>
      </w:r>
      <w:r w:rsidR="00EF6FB3" w:rsidRPr="001045B7">
        <w:rPr>
          <w:rFonts w:asciiTheme="minorHAnsi" w:hAnsiTheme="minorHAnsi" w:cstheme="minorHAnsi"/>
          <w:sz w:val="17"/>
          <w:szCs w:val="17"/>
        </w:rPr>
        <w:t>,</w:t>
      </w:r>
      <w:r w:rsidRPr="001045B7">
        <w:rPr>
          <w:rFonts w:asciiTheme="minorHAnsi" w:hAnsiTheme="minorHAnsi" w:cstheme="minorHAnsi"/>
          <w:sz w:val="17"/>
          <w:szCs w:val="17"/>
        </w:rPr>
        <w:t xml:space="preserve"> en el mes de mayo, se recuperó un recurso extraordinario con origen en la carta crédito en el rubro de otros aprovechamientos que impulso a los ingresos propios por un monto de 2,309,701,159 (dos mil trescientos nueve millones setecientos un mil ciento cincuenta y nueve).</w:t>
      </w:r>
    </w:p>
    <w:p w14:paraId="2DAC5C0C" w14:textId="77777777" w:rsidR="00290543" w:rsidRPr="001045B7" w:rsidRDefault="00290543" w:rsidP="00290543">
      <w:pPr>
        <w:spacing w:line="276" w:lineRule="auto"/>
        <w:jc w:val="both"/>
        <w:rPr>
          <w:rFonts w:asciiTheme="minorHAnsi" w:hAnsiTheme="minorHAnsi" w:cstheme="minorHAnsi"/>
          <w:sz w:val="17"/>
          <w:szCs w:val="17"/>
        </w:rPr>
      </w:pPr>
    </w:p>
    <w:p w14:paraId="181BECDA" w14:textId="07FD9ADC" w:rsidR="00B47153" w:rsidRPr="001045B7" w:rsidRDefault="00B47153" w:rsidP="00B47153">
      <w:pPr>
        <w:spacing w:line="276" w:lineRule="auto"/>
        <w:ind w:left="708"/>
        <w:jc w:val="both"/>
        <w:rPr>
          <w:rFonts w:asciiTheme="minorHAnsi" w:hAnsiTheme="minorHAnsi" w:cstheme="minorHAnsi"/>
          <w:sz w:val="17"/>
          <w:szCs w:val="17"/>
        </w:rPr>
      </w:pPr>
      <w:r w:rsidRPr="001045B7">
        <w:rPr>
          <w:rFonts w:asciiTheme="minorHAnsi" w:hAnsiTheme="minorHAnsi" w:cstheme="minorHAnsi"/>
          <w:sz w:val="17"/>
          <w:szCs w:val="17"/>
        </w:rPr>
        <w:t>•</w:t>
      </w:r>
      <w:r w:rsidRPr="001045B7">
        <w:rPr>
          <w:rFonts w:asciiTheme="minorHAnsi" w:hAnsiTheme="minorHAnsi" w:cstheme="minorHAnsi"/>
          <w:sz w:val="17"/>
          <w:szCs w:val="17"/>
        </w:rPr>
        <w:tab/>
        <w:t>Participaciones, Aportaciones, Convenios, Incentivos Derivados de la Colaboración Fiscal, Fondos Distintos de Aportaciones, Transferencias, Asignaciones, Subsidios y Subvenciones, y Pensiones y Jubilaciones</w:t>
      </w:r>
    </w:p>
    <w:p w14:paraId="272AA185" w14:textId="3DBB3D85" w:rsidR="00B47153" w:rsidRPr="001045B7" w:rsidRDefault="00B47153" w:rsidP="00B47153">
      <w:pPr>
        <w:spacing w:line="276" w:lineRule="auto"/>
        <w:ind w:left="708"/>
        <w:jc w:val="both"/>
        <w:rPr>
          <w:rFonts w:asciiTheme="minorHAnsi" w:hAnsiTheme="minorHAnsi" w:cstheme="minorHAnsi"/>
          <w:sz w:val="17"/>
          <w:szCs w:val="17"/>
        </w:rPr>
      </w:pPr>
    </w:p>
    <w:p w14:paraId="6C9DC6B0" w14:textId="1E489BCC" w:rsidR="00CB13C9" w:rsidRPr="001045B7" w:rsidRDefault="00B47153" w:rsidP="0068349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De las cuentas de participaciones, aportaciones, convenios, incentivos derivados de la colaboración fiscal, fondos distintos de aportaciones, transferencias, asignaciones, subsidios y subvenciones, y pensiones y jubilaciones, se informa los montos totales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1C980931" w14:textId="75C371A9" w:rsidR="00B47153" w:rsidRPr="001045B7" w:rsidRDefault="00B47153" w:rsidP="00B47153">
      <w:pPr>
        <w:spacing w:line="250" w:lineRule="exact"/>
        <w:ind w:left="709"/>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margin" w:tblpXSpec="center" w:tblpY="44"/>
        <w:tblW w:w="8272" w:type="dxa"/>
        <w:tblCellMar>
          <w:left w:w="70" w:type="dxa"/>
          <w:right w:w="70" w:type="dxa"/>
        </w:tblCellMar>
        <w:tblLook w:val="04A0" w:firstRow="1" w:lastRow="0" w:firstColumn="1" w:lastColumn="0" w:noHBand="0" w:noVBand="1"/>
      </w:tblPr>
      <w:tblGrid>
        <w:gridCol w:w="4248"/>
        <w:gridCol w:w="1844"/>
        <w:gridCol w:w="2180"/>
      </w:tblGrid>
      <w:tr w:rsidR="00B47153" w:rsidRPr="001045B7" w14:paraId="4933C841" w14:textId="77777777" w:rsidTr="00B47153">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2FD79C" w14:textId="77777777" w:rsidR="00B47153" w:rsidRPr="001045B7" w:rsidRDefault="00B47153"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 de ingresos:</w:t>
            </w:r>
          </w:p>
        </w:tc>
        <w:tc>
          <w:tcPr>
            <w:tcW w:w="184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6F66F8" w14:textId="15D3B074" w:rsidR="00B47153" w:rsidRPr="001045B7" w:rsidRDefault="008E7DE6"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CE1621" w14:textId="1653A0D1" w:rsidR="00B47153" w:rsidRPr="001045B7" w:rsidRDefault="008E7DE6"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54121E" w:rsidRPr="001045B7" w14:paraId="331EB607" w14:textId="77777777" w:rsidTr="00B47153">
        <w:trPr>
          <w:trHeight w:val="27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2963E67" w14:textId="77777777" w:rsidR="0054121E" w:rsidRPr="001045B7" w:rsidRDefault="0054121E" w:rsidP="0054121E">
            <w:pPr>
              <w:rPr>
                <w:rFonts w:asciiTheme="minorHAnsi" w:hAnsiTheme="minorHAnsi" w:cstheme="minorHAnsi"/>
                <w:b/>
                <w:sz w:val="17"/>
                <w:szCs w:val="17"/>
              </w:rPr>
            </w:pPr>
            <w:r w:rsidRPr="001045B7">
              <w:rPr>
                <w:rFonts w:asciiTheme="minorHAnsi" w:hAnsiTheme="minorHAnsi" w:cstheme="minorHAnsi"/>
                <w:b/>
                <w:sz w:val="17"/>
                <w:szCs w:val="17"/>
              </w:rPr>
              <w:t>Participaciones</w:t>
            </w:r>
          </w:p>
        </w:tc>
        <w:tc>
          <w:tcPr>
            <w:tcW w:w="1844" w:type="dxa"/>
            <w:tcBorders>
              <w:top w:val="single" w:sz="4" w:space="0" w:color="auto"/>
              <w:left w:val="nil"/>
              <w:bottom w:val="single" w:sz="4" w:space="0" w:color="auto"/>
              <w:right w:val="single" w:sz="4" w:space="0" w:color="auto"/>
            </w:tcBorders>
            <w:shd w:val="clear" w:color="auto" w:fill="auto"/>
          </w:tcPr>
          <w:p w14:paraId="38E4D8A0" w14:textId="00687CBA"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22,939,832,812 </w:t>
            </w:r>
          </w:p>
        </w:tc>
        <w:tc>
          <w:tcPr>
            <w:tcW w:w="2180" w:type="dxa"/>
            <w:tcBorders>
              <w:top w:val="single" w:sz="4" w:space="0" w:color="auto"/>
              <w:left w:val="nil"/>
              <w:bottom w:val="single" w:sz="4" w:space="0" w:color="auto"/>
              <w:right w:val="single" w:sz="4" w:space="0" w:color="auto"/>
            </w:tcBorders>
            <w:shd w:val="clear" w:color="auto" w:fill="auto"/>
          </w:tcPr>
          <w:p w14:paraId="3E57387C" w14:textId="7994F11F"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22,111,793,029 </w:t>
            </w:r>
          </w:p>
        </w:tc>
      </w:tr>
      <w:tr w:rsidR="0054121E" w:rsidRPr="001045B7" w14:paraId="00FCB901"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3C3A013C" w14:textId="77777777" w:rsidR="0054121E" w:rsidRPr="001045B7" w:rsidRDefault="0054121E" w:rsidP="0054121E">
            <w:pPr>
              <w:rPr>
                <w:rFonts w:asciiTheme="minorHAnsi" w:hAnsiTheme="minorHAnsi" w:cstheme="minorHAnsi"/>
                <w:b/>
                <w:sz w:val="17"/>
                <w:szCs w:val="17"/>
              </w:rPr>
            </w:pPr>
            <w:r w:rsidRPr="001045B7">
              <w:rPr>
                <w:rFonts w:asciiTheme="minorHAnsi" w:hAnsiTheme="minorHAnsi" w:cstheme="minorHAnsi"/>
                <w:b/>
                <w:sz w:val="17"/>
                <w:szCs w:val="17"/>
              </w:rPr>
              <w:t>Aportaciones</w:t>
            </w:r>
          </w:p>
        </w:tc>
        <w:tc>
          <w:tcPr>
            <w:tcW w:w="1844" w:type="dxa"/>
            <w:tcBorders>
              <w:top w:val="nil"/>
              <w:left w:val="nil"/>
              <w:bottom w:val="single" w:sz="4" w:space="0" w:color="auto"/>
              <w:right w:val="single" w:sz="4" w:space="0" w:color="auto"/>
            </w:tcBorders>
            <w:shd w:val="clear" w:color="auto" w:fill="auto"/>
          </w:tcPr>
          <w:p w14:paraId="184E3AB5" w14:textId="4AC126F2"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17,105,622,117 </w:t>
            </w:r>
          </w:p>
        </w:tc>
        <w:tc>
          <w:tcPr>
            <w:tcW w:w="2180" w:type="dxa"/>
            <w:tcBorders>
              <w:top w:val="nil"/>
              <w:left w:val="nil"/>
              <w:bottom w:val="single" w:sz="4" w:space="0" w:color="auto"/>
              <w:right w:val="single" w:sz="4" w:space="0" w:color="auto"/>
            </w:tcBorders>
            <w:shd w:val="clear" w:color="auto" w:fill="auto"/>
          </w:tcPr>
          <w:p w14:paraId="0C2EF86A" w14:textId="69634F89"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16,022,658,664 </w:t>
            </w:r>
          </w:p>
        </w:tc>
      </w:tr>
      <w:tr w:rsidR="0054121E" w:rsidRPr="001045B7" w14:paraId="463514C2"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7A51FB34" w14:textId="77777777" w:rsidR="0054121E" w:rsidRPr="001045B7" w:rsidRDefault="0054121E" w:rsidP="0054121E">
            <w:pPr>
              <w:rPr>
                <w:rFonts w:asciiTheme="minorHAnsi" w:hAnsiTheme="minorHAnsi" w:cstheme="minorHAnsi"/>
                <w:b/>
                <w:sz w:val="17"/>
                <w:szCs w:val="17"/>
              </w:rPr>
            </w:pPr>
            <w:r w:rsidRPr="001045B7">
              <w:rPr>
                <w:rFonts w:asciiTheme="minorHAnsi" w:hAnsiTheme="minorHAnsi" w:cstheme="minorHAnsi"/>
                <w:b/>
                <w:sz w:val="17"/>
                <w:szCs w:val="17"/>
              </w:rPr>
              <w:t>Convenios</w:t>
            </w:r>
          </w:p>
        </w:tc>
        <w:tc>
          <w:tcPr>
            <w:tcW w:w="1844" w:type="dxa"/>
            <w:tcBorders>
              <w:top w:val="nil"/>
              <w:left w:val="nil"/>
              <w:bottom w:val="single" w:sz="4" w:space="0" w:color="auto"/>
              <w:right w:val="single" w:sz="4" w:space="0" w:color="auto"/>
            </w:tcBorders>
            <w:shd w:val="clear" w:color="auto" w:fill="auto"/>
          </w:tcPr>
          <w:p w14:paraId="361F01AA" w14:textId="6F3810D6"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3,715,120,087 </w:t>
            </w:r>
          </w:p>
        </w:tc>
        <w:tc>
          <w:tcPr>
            <w:tcW w:w="2180" w:type="dxa"/>
            <w:tcBorders>
              <w:top w:val="nil"/>
              <w:left w:val="nil"/>
              <w:bottom w:val="single" w:sz="4" w:space="0" w:color="auto"/>
              <w:right w:val="single" w:sz="4" w:space="0" w:color="auto"/>
            </w:tcBorders>
            <w:shd w:val="clear" w:color="auto" w:fill="auto"/>
          </w:tcPr>
          <w:p w14:paraId="5E8F9ADE" w14:textId="50F95D86"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3,623,514,797 </w:t>
            </w:r>
          </w:p>
        </w:tc>
      </w:tr>
      <w:tr w:rsidR="0054121E" w:rsidRPr="001045B7" w14:paraId="4B3EC399"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7D6A35B5" w14:textId="77777777" w:rsidR="0054121E" w:rsidRPr="001045B7" w:rsidRDefault="0054121E" w:rsidP="0054121E">
            <w:pPr>
              <w:rPr>
                <w:rFonts w:asciiTheme="minorHAnsi" w:hAnsiTheme="minorHAnsi" w:cstheme="minorHAnsi"/>
                <w:b/>
                <w:sz w:val="17"/>
                <w:szCs w:val="17"/>
              </w:rPr>
            </w:pPr>
            <w:r w:rsidRPr="001045B7">
              <w:rPr>
                <w:rFonts w:asciiTheme="minorHAnsi" w:hAnsiTheme="minorHAnsi" w:cstheme="minorHAnsi"/>
                <w:b/>
                <w:sz w:val="17"/>
                <w:szCs w:val="17"/>
              </w:rPr>
              <w:t>Incentivos Derivados de la Colaboración Fiscal</w:t>
            </w:r>
          </w:p>
        </w:tc>
        <w:tc>
          <w:tcPr>
            <w:tcW w:w="1844" w:type="dxa"/>
            <w:tcBorders>
              <w:top w:val="nil"/>
              <w:left w:val="nil"/>
              <w:bottom w:val="single" w:sz="4" w:space="0" w:color="auto"/>
              <w:right w:val="single" w:sz="4" w:space="0" w:color="auto"/>
            </w:tcBorders>
            <w:shd w:val="clear" w:color="auto" w:fill="auto"/>
          </w:tcPr>
          <w:p w14:paraId="6E9B5BC9" w14:textId="6AFACE2F"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3,002,093,978 </w:t>
            </w:r>
          </w:p>
        </w:tc>
        <w:tc>
          <w:tcPr>
            <w:tcW w:w="2180" w:type="dxa"/>
            <w:tcBorders>
              <w:top w:val="nil"/>
              <w:left w:val="nil"/>
              <w:bottom w:val="single" w:sz="4" w:space="0" w:color="auto"/>
              <w:right w:val="single" w:sz="4" w:space="0" w:color="auto"/>
            </w:tcBorders>
            <w:shd w:val="clear" w:color="auto" w:fill="auto"/>
          </w:tcPr>
          <w:p w14:paraId="591D11BF" w14:textId="424BBD46"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2,858,295,318 </w:t>
            </w:r>
          </w:p>
        </w:tc>
      </w:tr>
      <w:tr w:rsidR="0054121E" w:rsidRPr="001045B7" w14:paraId="3DE522B2" w14:textId="77777777" w:rsidTr="00B47153">
        <w:trPr>
          <w:trHeight w:val="240"/>
        </w:trPr>
        <w:tc>
          <w:tcPr>
            <w:tcW w:w="424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41E29E0C" w14:textId="77777777" w:rsidR="0054121E" w:rsidRPr="001045B7" w:rsidRDefault="0054121E" w:rsidP="0054121E">
            <w:pPr>
              <w:ind w:left="492" w:hanging="492"/>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xml:space="preserve">Total </w:t>
            </w:r>
          </w:p>
        </w:tc>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D6078E" w14:textId="61DE66DF" w:rsidR="0054121E" w:rsidRPr="001045B7" w:rsidRDefault="0054121E" w:rsidP="0054121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46,762,668,994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6EC9A39" w14:textId="7C1D0592" w:rsidR="0054121E" w:rsidRPr="001045B7" w:rsidRDefault="0054121E" w:rsidP="0054121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44,616,261,807 </w:t>
            </w:r>
          </w:p>
        </w:tc>
      </w:tr>
    </w:tbl>
    <w:p w14:paraId="2DF7EE66" w14:textId="28AAE7D0" w:rsidR="00B47153" w:rsidRPr="001045B7" w:rsidRDefault="00B47153" w:rsidP="0068349D">
      <w:pPr>
        <w:spacing w:line="276" w:lineRule="auto"/>
        <w:jc w:val="both"/>
        <w:rPr>
          <w:rFonts w:asciiTheme="minorHAnsi" w:hAnsiTheme="minorHAnsi" w:cstheme="minorHAnsi"/>
          <w:sz w:val="17"/>
          <w:szCs w:val="17"/>
        </w:rPr>
      </w:pPr>
    </w:p>
    <w:p w14:paraId="3F8BE40A" w14:textId="61C1A4AC" w:rsidR="00B47153" w:rsidRPr="001045B7" w:rsidRDefault="00B47153" w:rsidP="0068349D">
      <w:pPr>
        <w:spacing w:line="276" w:lineRule="auto"/>
        <w:jc w:val="both"/>
        <w:rPr>
          <w:rFonts w:asciiTheme="minorHAnsi" w:hAnsiTheme="minorHAnsi" w:cstheme="minorHAnsi"/>
          <w:sz w:val="17"/>
          <w:szCs w:val="17"/>
        </w:rPr>
      </w:pPr>
    </w:p>
    <w:p w14:paraId="5CD75331" w14:textId="3646AC8B" w:rsidR="00B47153" w:rsidRPr="001045B7" w:rsidRDefault="00B47153" w:rsidP="0068349D">
      <w:pPr>
        <w:spacing w:line="276" w:lineRule="auto"/>
        <w:jc w:val="both"/>
        <w:rPr>
          <w:rFonts w:asciiTheme="minorHAnsi" w:hAnsiTheme="minorHAnsi" w:cstheme="minorHAnsi"/>
          <w:sz w:val="17"/>
          <w:szCs w:val="17"/>
        </w:rPr>
      </w:pPr>
    </w:p>
    <w:p w14:paraId="50561C53" w14:textId="77777777" w:rsidR="00B47153" w:rsidRPr="001045B7" w:rsidRDefault="00B47153" w:rsidP="0068349D">
      <w:pPr>
        <w:spacing w:line="276" w:lineRule="auto"/>
        <w:jc w:val="both"/>
        <w:rPr>
          <w:rFonts w:asciiTheme="minorHAnsi" w:hAnsiTheme="minorHAnsi" w:cstheme="minorHAnsi"/>
          <w:sz w:val="17"/>
          <w:szCs w:val="17"/>
        </w:rPr>
      </w:pPr>
    </w:p>
    <w:p w14:paraId="5E448835" w14:textId="62919C78" w:rsidR="00B47153" w:rsidRPr="001045B7" w:rsidRDefault="00B47153" w:rsidP="0068349D">
      <w:pPr>
        <w:spacing w:line="276" w:lineRule="auto"/>
        <w:jc w:val="both"/>
        <w:rPr>
          <w:rFonts w:asciiTheme="minorHAnsi" w:hAnsiTheme="minorHAnsi" w:cstheme="minorHAnsi"/>
          <w:sz w:val="17"/>
          <w:szCs w:val="17"/>
        </w:rPr>
      </w:pPr>
    </w:p>
    <w:p w14:paraId="072C94B1" w14:textId="2490BB7A" w:rsidR="00B47153" w:rsidRPr="001045B7" w:rsidRDefault="00B47153" w:rsidP="0068349D">
      <w:pPr>
        <w:spacing w:line="276" w:lineRule="auto"/>
        <w:jc w:val="both"/>
        <w:rPr>
          <w:rFonts w:asciiTheme="minorHAnsi" w:hAnsiTheme="minorHAnsi" w:cstheme="minorHAnsi"/>
          <w:sz w:val="17"/>
          <w:szCs w:val="17"/>
        </w:rPr>
      </w:pPr>
    </w:p>
    <w:p w14:paraId="5F75083E" w14:textId="6B5A5130" w:rsidR="00B47153" w:rsidRPr="001045B7" w:rsidRDefault="00B47153" w:rsidP="0068349D">
      <w:pPr>
        <w:spacing w:line="276" w:lineRule="auto"/>
        <w:jc w:val="both"/>
        <w:rPr>
          <w:rFonts w:asciiTheme="minorHAnsi" w:hAnsiTheme="minorHAnsi" w:cstheme="minorHAnsi"/>
          <w:sz w:val="17"/>
          <w:szCs w:val="17"/>
        </w:rPr>
      </w:pPr>
    </w:p>
    <w:p w14:paraId="02E98984" w14:textId="77777777" w:rsidR="00CB13C9" w:rsidRPr="001045B7" w:rsidRDefault="00CB13C9" w:rsidP="0068349D">
      <w:pPr>
        <w:spacing w:line="276" w:lineRule="auto"/>
        <w:jc w:val="both"/>
        <w:rPr>
          <w:rFonts w:asciiTheme="minorHAnsi" w:hAnsiTheme="minorHAnsi" w:cstheme="minorHAnsi"/>
          <w:sz w:val="17"/>
          <w:szCs w:val="17"/>
        </w:rPr>
      </w:pPr>
    </w:p>
    <w:p w14:paraId="3A34C1EA" w14:textId="77777777" w:rsidR="00EF6FB3"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Las participaciones cerraron con un incremento del 4% (cuatro por ciento) respecto al mismo periodo del año inmediato anterior, mientras que las Aportaciones presentaron un crecimiento del 7% (siete por ciento); por su parte los Convenios incrementaron en un 3% (tres por ciento) e Incentivos con un crecimiento del 5% (cinco por ciento).</w:t>
      </w:r>
    </w:p>
    <w:p w14:paraId="14FFF56B" w14:textId="77777777" w:rsidR="00EF6FB3" w:rsidRPr="001045B7" w:rsidRDefault="00EF6FB3" w:rsidP="00EF6FB3">
      <w:pPr>
        <w:spacing w:line="276" w:lineRule="auto"/>
        <w:jc w:val="both"/>
        <w:rPr>
          <w:rFonts w:asciiTheme="minorHAnsi" w:hAnsiTheme="minorHAnsi" w:cstheme="minorHAnsi"/>
          <w:sz w:val="17"/>
          <w:szCs w:val="17"/>
        </w:rPr>
      </w:pPr>
    </w:p>
    <w:p w14:paraId="3A76C152" w14:textId="77777777" w:rsidR="00EF6FB3"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crecimiento en Participaciones se impulsó con los aumentos de 1,229,206,136 (Un mil doscientos veintinueve millones doscientos seis mil ciento treinta y seis) en Fondo General de Participaciones, 357,772,957 (trescientos cincuenta y siete millones setecientos setenta y dos mil novecientos cincuenta y siete) en Fondo de Fiscalización, y 262,618,424 (doscientos sesenta y dos millones seiscientos dieciocho mil cuatrocientos veinticuatro) en Fondo del ISR 3-B comparado contra el cierre del ejercicio fiscal inmediato anterior. Con equivalentes del 8% (ocho por ciento), 26% (veintiséis por ciento) y 13% (trece por ciento) respectivamente. Es relevante mencionar que en el ejercicio fiscal 2023 se recibieron 1,240,472,245 (</w:t>
      </w:r>
      <w:proofErr w:type="gramStart"/>
      <w:r w:rsidRPr="001045B7">
        <w:rPr>
          <w:rFonts w:asciiTheme="minorHAnsi" w:hAnsiTheme="minorHAnsi" w:cstheme="minorHAnsi"/>
          <w:sz w:val="17"/>
          <w:szCs w:val="17"/>
        </w:rPr>
        <w:t>un mil doscientos cuarenta millones</w:t>
      </w:r>
      <w:proofErr w:type="gramEnd"/>
      <w:r w:rsidRPr="001045B7">
        <w:rPr>
          <w:rFonts w:asciiTheme="minorHAnsi" w:hAnsiTheme="minorHAnsi" w:cstheme="minorHAnsi"/>
          <w:sz w:val="17"/>
          <w:szCs w:val="17"/>
        </w:rPr>
        <w:t xml:space="preserve"> cuatrocientos setenta y dos mil doscientos cuarenta y cinco) correspondientes al Fondo de Estabilización para las Entidades Federativas de forma extraordinaria, mientras que en el ejercicio fiscal 2024 solo se recibieron 91,121,267 (noventa y un millones ciento veintiún mil doscientos sesenta y siete).</w:t>
      </w:r>
    </w:p>
    <w:p w14:paraId="78E32A25" w14:textId="77777777" w:rsidR="00EF6FB3" w:rsidRPr="001045B7" w:rsidRDefault="00EF6FB3" w:rsidP="00EF6FB3">
      <w:pPr>
        <w:spacing w:line="276" w:lineRule="auto"/>
        <w:jc w:val="both"/>
        <w:rPr>
          <w:rFonts w:asciiTheme="minorHAnsi" w:hAnsiTheme="minorHAnsi" w:cstheme="minorHAnsi"/>
          <w:sz w:val="17"/>
          <w:szCs w:val="17"/>
        </w:rPr>
      </w:pPr>
    </w:p>
    <w:p w14:paraId="3DD4D8F5" w14:textId="77777777" w:rsidR="00EF6FB3"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Al mes de diciembre se observa que las disminuciones en la recaudación del Fondo General de Participaciones conforme a las Constancias de Compensación, acumulan 205,519,366 (doscientos cinco millones quinientos diecinueve mil trescientos sesenta y seis) y corresponden a descuentos del Fondo de Estabilización de los Ingresos de las Entidades Federativas (</w:t>
      </w:r>
      <w:proofErr w:type="spellStart"/>
      <w:r w:rsidRPr="001045B7">
        <w:rPr>
          <w:rFonts w:asciiTheme="minorHAnsi" w:hAnsiTheme="minorHAnsi" w:cstheme="minorHAnsi"/>
          <w:sz w:val="17"/>
          <w:szCs w:val="17"/>
        </w:rPr>
        <w:t>FEIEF</w:t>
      </w:r>
      <w:proofErr w:type="spellEnd"/>
      <w:r w:rsidRPr="001045B7">
        <w:rPr>
          <w:rFonts w:asciiTheme="minorHAnsi" w:hAnsiTheme="minorHAnsi" w:cstheme="minorHAnsi"/>
          <w:sz w:val="17"/>
          <w:szCs w:val="17"/>
        </w:rPr>
        <w:t>) potenciado.</w:t>
      </w:r>
    </w:p>
    <w:p w14:paraId="2994113D" w14:textId="77777777" w:rsidR="00EF6FB3" w:rsidRPr="001045B7" w:rsidRDefault="00EF6FB3" w:rsidP="00EF6FB3">
      <w:pPr>
        <w:spacing w:line="276" w:lineRule="auto"/>
        <w:jc w:val="both"/>
        <w:rPr>
          <w:rFonts w:asciiTheme="minorHAnsi" w:hAnsiTheme="minorHAnsi" w:cstheme="minorHAnsi"/>
          <w:sz w:val="17"/>
          <w:szCs w:val="17"/>
        </w:rPr>
      </w:pPr>
    </w:p>
    <w:p w14:paraId="306609A8" w14:textId="77777777" w:rsidR="00EF6FB3"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el caso de las Aportaciones el crecimiento se impulsó con los aumentos de 669,460,321 (seiscientos sesenta y nueve millones cuatrocientos sesenta mil trescientos veintiuno) en </w:t>
      </w:r>
      <w:proofErr w:type="spellStart"/>
      <w:r w:rsidRPr="001045B7">
        <w:rPr>
          <w:rFonts w:asciiTheme="minorHAnsi" w:hAnsiTheme="minorHAnsi" w:cstheme="minorHAnsi"/>
          <w:sz w:val="17"/>
          <w:szCs w:val="17"/>
        </w:rPr>
        <w:t>FONE</w:t>
      </w:r>
      <w:proofErr w:type="spellEnd"/>
      <w:r w:rsidRPr="001045B7">
        <w:rPr>
          <w:rFonts w:asciiTheme="minorHAnsi" w:hAnsiTheme="minorHAnsi" w:cstheme="minorHAnsi"/>
          <w:sz w:val="17"/>
          <w:szCs w:val="17"/>
        </w:rPr>
        <w:t xml:space="preserve"> Servicios Personales, 176,251,882 (Ciento setenta y seis millones doscientos cincuenta y un mil ochocientos ochenta y dos) en </w:t>
      </w:r>
      <w:proofErr w:type="spellStart"/>
      <w:r w:rsidRPr="001045B7">
        <w:rPr>
          <w:rFonts w:asciiTheme="minorHAnsi" w:hAnsiTheme="minorHAnsi" w:cstheme="minorHAnsi"/>
          <w:sz w:val="17"/>
          <w:szCs w:val="17"/>
        </w:rPr>
        <w:t>FASSA</w:t>
      </w:r>
      <w:proofErr w:type="spellEnd"/>
      <w:r w:rsidRPr="001045B7">
        <w:rPr>
          <w:rFonts w:asciiTheme="minorHAnsi" w:hAnsiTheme="minorHAnsi" w:cstheme="minorHAnsi"/>
          <w:sz w:val="17"/>
          <w:szCs w:val="17"/>
        </w:rPr>
        <w:t xml:space="preserve">, 90,464,374 (Noventa millones cuatrocientos sesenta y cuatro mil trescientos setenta y cuatro) en </w:t>
      </w:r>
      <w:proofErr w:type="spellStart"/>
      <w:r w:rsidRPr="001045B7">
        <w:rPr>
          <w:rFonts w:asciiTheme="minorHAnsi" w:hAnsiTheme="minorHAnsi" w:cstheme="minorHAnsi"/>
          <w:sz w:val="17"/>
          <w:szCs w:val="17"/>
        </w:rPr>
        <w:t>FORTAMUN</w:t>
      </w:r>
      <w:proofErr w:type="spellEnd"/>
      <w:r w:rsidRPr="001045B7">
        <w:rPr>
          <w:rFonts w:asciiTheme="minorHAnsi" w:hAnsiTheme="minorHAnsi" w:cstheme="minorHAnsi"/>
          <w:sz w:val="17"/>
          <w:szCs w:val="17"/>
        </w:rPr>
        <w:t xml:space="preserve">, y 77,927,428 (Setenta y siete millones novecientos veintisiete mil cuatrocientos veintiocho) en </w:t>
      </w:r>
      <w:proofErr w:type="spellStart"/>
      <w:r w:rsidRPr="001045B7">
        <w:rPr>
          <w:rFonts w:asciiTheme="minorHAnsi" w:hAnsiTheme="minorHAnsi" w:cstheme="minorHAnsi"/>
          <w:sz w:val="17"/>
          <w:szCs w:val="17"/>
        </w:rPr>
        <w:t>FISM</w:t>
      </w:r>
      <w:proofErr w:type="spellEnd"/>
      <w:r w:rsidRPr="001045B7">
        <w:rPr>
          <w:rFonts w:asciiTheme="minorHAnsi" w:hAnsiTheme="minorHAnsi" w:cstheme="minorHAnsi"/>
          <w:sz w:val="17"/>
          <w:szCs w:val="17"/>
        </w:rPr>
        <w:t xml:space="preserve"> comparado contra el cierre del ejercicio fiscal inmediato anterior. Con equivalentes de 8% (ocho por ciento), 7% (siete por ciento), 4% (cuatro por ciento) y 8% (ocho por ciento) respectivamente.</w:t>
      </w:r>
    </w:p>
    <w:p w14:paraId="558D4A39" w14:textId="77777777" w:rsidR="00EF6FB3" w:rsidRPr="001045B7" w:rsidRDefault="00EF6FB3" w:rsidP="00EF6FB3">
      <w:pPr>
        <w:spacing w:line="276" w:lineRule="auto"/>
        <w:jc w:val="both"/>
        <w:rPr>
          <w:rFonts w:asciiTheme="minorHAnsi" w:hAnsiTheme="minorHAnsi" w:cstheme="minorHAnsi"/>
          <w:sz w:val="17"/>
          <w:szCs w:val="17"/>
        </w:rPr>
      </w:pPr>
    </w:p>
    <w:p w14:paraId="28653E88" w14:textId="77777777" w:rsidR="00EF6FB3"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En los Convenios se observa un aumento por 91,605,290 (trescientos veintiún millones setecientos veintitrés mil novecientos cincuenta y cinco), impulsados por el crecimiento de 75,125,542 (Setenta y cinco millones ciento veinticinco mil quinientos cuarenta y dos) para el convenio con la Universidad Autónoma de Querétaro (</w:t>
      </w:r>
      <w:proofErr w:type="spellStart"/>
      <w:r w:rsidRPr="001045B7">
        <w:rPr>
          <w:rFonts w:asciiTheme="minorHAnsi" w:hAnsiTheme="minorHAnsi" w:cstheme="minorHAnsi"/>
          <w:sz w:val="17"/>
          <w:szCs w:val="17"/>
        </w:rPr>
        <w:t>UAQ</w:t>
      </w:r>
      <w:proofErr w:type="spellEnd"/>
      <w:r w:rsidRPr="001045B7">
        <w:rPr>
          <w:rFonts w:asciiTheme="minorHAnsi" w:hAnsiTheme="minorHAnsi" w:cstheme="minorHAnsi"/>
          <w:sz w:val="17"/>
          <w:szCs w:val="17"/>
        </w:rPr>
        <w:t>), equivalente al 4% (cuatro por ciento).</w:t>
      </w:r>
    </w:p>
    <w:p w14:paraId="4F1CA85E" w14:textId="77777777" w:rsidR="00EF6FB3" w:rsidRPr="001045B7" w:rsidRDefault="00EF6FB3" w:rsidP="00EF6FB3">
      <w:pPr>
        <w:spacing w:line="276" w:lineRule="auto"/>
        <w:jc w:val="both"/>
        <w:rPr>
          <w:rFonts w:asciiTheme="minorHAnsi" w:hAnsiTheme="minorHAnsi" w:cstheme="minorHAnsi"/>
          <w:sz w:val="17"/>
          <w:szCs w:val="17"/>
        </w:rPr>
      </w:pPr>
    </w:p>
    <w:p w14:paraId="2F7C1CAD" w14:textId="043B91C8" w:rsidR="000F3BEA" w:rsidRPr="001045B7" w:rsidRDefault="00EF6FB3" w:rsidP="00EF6FB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Para los Incentivos, el crecimiento es impulsado por el incremento de los Incentivos por Fiscalización, recaudándose 171,099,934 (ciento setenta y un millones noventa y nueve mil novecientos treinta y cuatro) más que en el cierre del año inmediato anterior, equivalente al 9% (nueve por ciento).</w:t>
      </w:r>
    </w:p>
    <w:p w14:paraId="4CAB3683" w14:textId="77777777" w:rsidR="00EF6FB3" w:rsidRPr="001045B7" w:rsidRDefault="00EF6FB3" w:rsidP="00EF6FB3">
      <w:pPr>
        <w:spacing w:line="276" w:lineRule="auto"/>
        <w:jc w:val="both"/>
        <w:rPr>
          <w:rFonts w:asciiTheme="minorHAnsi" w:hAnsiTheme="minorHAnsi" w:cstheme="minorHAnsi"/>
          <w:sz w:val="17"/>
          <w:szCs w:val="17"/>
        </w:rPr>
      </w:pPr>
    </w:p>
    <w:p w14:paraId="781B105C" w14:textId="029EE588" w:rsidR="000F3BEA" w:rsidRPr="001045B7" w:rsidRDefault="000F3BEA" w:rsidP="000F3BEA">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explican aquellas cuentas de los rubros que integran los grupos de</w:t>
      </w:r>
      <w:r w:rsidR="007E7FD5" w:rsidRPr="001045B7">
        <w:rPr>
          <w:rFonts w:asciiTheme="minorHAnsi" w:hAnsiTheme="minorHAnsi" w:cstheme="minorHAnsi"/>
          <w:sz w:val="17"/>
          <w:szCs w:val="17"/>
        </w:rPr>
        <w:t xml:space="preserve"> </w:t>
      </w:r>
      <w:r w:rsidRPr="001045B7">
        <w:rPr>
          <w:rFonts w:asciiTheme="minorHAnsi" w:hAnsiTheme="minorHAnsi" w:cstheme="minorHAnsi"/>
          <w:sz w:val="17"/>
          <w:szCs w:val="17"/>
        </w:rPr>
        <w:t xml:space="preserve">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w:t>
      </w:r>
      <w:r w:rsidR="00F15C6F" w:rsidRPr="001045B7">
        <w:rPr>
          <w:rFonts w:asciiTheme="minorHAnsi" w:hAnsiTheme="minorHAnsi" w:cstheme="minorHAnsi"/>
          <w:sz w:val="17"/>
          <w:szCs w:val="17"/>
        </w:rPr>
        <w:t xml:space="preserve">(quince por ciento) </w:t>
      </w:r>
      <w:r w:rsidRPr="001045B7">
        <w:rPr>
          <w:rFonts w:asciiTheme="minorHAnsi" w:hAnsiTheme="minorHAnsi" w:cstheme="minorHAnsi"/>
          <w:sz w:val="17"/>
          <w:szCs w:val="17"/>
        </w:rPr>
        <w:t>o más del total del rubro al 31 (treinta y uno) de diciembre del 2024 (dos mil veinticuatro):</w:t>
      </w:r>
    </w:p>
    <w:p w14:paraId="414F9906" w14:textId="77777777" w:rsidR="000F3BEA" w:rsidRPr="001045B7" w:rsidRDefault="000F3BEA" w:rsidP="000F3BEA">
      <w:pPr>
        <w:spacing w:before="80" w:line="250" w:lineRule="exact"/>
        <w:ind w:left="6381"/>
        <w:jc w:val="both"/>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page" w:tblpXSpec="center" w:tblpY="45"/>
        <w:tblW w:w="11483" w:type="dxa"/>
        <w:tblCellMar>
          <w:left w:w="70" w:type="dxa"/>
          <w:right w:w="70" w:type="dxa"/>
        </w:tblCellMar>
        <w:tblLook w:val="04A0" w:firstRow="1" w:lastRow="0" w:firstColumn="1" w:lastColumn="0" w:noHBand="0" w:noVBand="1"/>
      </w:tblPr>
      <w:tblGrid>
        <w:gridCol w:w="6935"/>
        <w:gridCol w:w="1843"/>
        <w:gridCol w:w="2705"/>
      </w:tblGrid>
      <w:tr w:rsidR="000F3BEA" w:rsidRPr="001045B7" w14:paraId="4B65AF93" w14:textId="77777777" w:rsidTr="00A06787">
        <w:trPr>
          <w:trHeight w:val="338"/>
        </w:trPr>
        <w:tc>
          <w:tcPr>
            <w:tcW w:w="6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AE61E9" w14:textId="77777777" w:rsidR="000F3BEA" w:rsidRPr="001045B7" w:rsidRDefault="000F3BEA" w:rsidP="00A06787">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EEDC3F" w14:textId="77777777" w:rsidR="000F3BEA" w:rsidRPr="001045B7" w:rsidRDefault="000F3BEA" w:rsidP="00A06787">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individual</w:t>
            </w:r>
          </w:p>
        </w:tc>
        <w:tc>
          <w:tcPr>
            <w:tcW w:w="27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8423FE" w14:textId="77777777" w:rsidR="000F3BEA" w:rsidRPr="001045B7" w:rsidRDefault="000F3BEA" w:rsidP="00A06787">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Porcentaje del total del ingreso</w:t>
            </w:r>
          </w:p>
        </w:tc>
      </w:tr>
      <w:tr w:rsidR="000F3BEA" w:rsidRPr="001045B7" w14:paraId="7B81E0A9" w14:textId="77777777" w:rsidTr="00A06787">
        <w:trPr>
          <w:trHeight w:val="288"/>
        </w:trPr>
        <w:tc>
          <w:tcPr>
            <w:tcW w:w="6935" w:type="dxa"/>
            <w:tcBorders>
              <w:top w:val="single" w:sz="4" w:space="0" w:color="auto"/>
              <w:left w:val="single" w:sz="4" w:space="0" w:color="auto"/>
              <w:bottom w:val="single" w:sz="4" w:space="0" w:color="auto"/>
              <w:right w:val="single" w:sz="4" w:space="0" w:color="auto"/>
            </w:tcBorders>
            <w:shd w:val="clear" w:color="000000" w:fill="FFFFFF"/>
            <w:vAlign w:val="center"/>
          </w:tcPr>
          <w:p w14:paraId="170D6E40" w14:textId="5624CAD8" w:rsidR="000F3BEA" w:rsidRPr="001045B7" w:rsidRDefault="00460A4C" w:rsidP="00A0678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Fondo General de Participaciones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4B4A8A" w14:textId="365DA580" w:rsidR="000F3BEA" w:rsidRPr="001045B7" w:rsidRDefault="00460A4C" w:rsidP="00A06787">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16,812,835,565</w:t>
            </w:r>
          </w:p>
        </w:tc>
        <w:tc>
          <w:tcPr>
            <w:tcW w:w="2705" w:type="dxa"/>
            <w:tcBorders>
              <w:top w:val="single" w:sz="4" w:space="0" w:color="auto"/>
              <w:left w:val="nil"/>
              <w:bottom w:val="single" w:sz="4" w:space="0" w:color="auto"/>
              <w:right w:val="single" w:sz="4" w:space="0" w:color="auto"/>
            </w:tcBorders>
            <w:shd w:val="clear" w:color="auto" w:fill="auto"/>
            <w:vAlign w:val="center"/>
          </w:tcPr>
          <w:p w14:paraId="5877804D" w14:textId="284DD304" w:rsidR="000F3BEA" w:rsidRPr="001045B7" w:rsidRDefault="00460A4C" w:rsidP="00A06787">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2</w:t>
            </w:r>
            <w:r w:rsidR="00470F06" w:rsidRPr="001045B7">
              <w:rPr>
                <w:rFonts w:asciiTheme="minorHAnsi" w:hAnsiTheme="minorHAnsi" w:cstheme="minorHAnsi"/>
                <w:bCs/>
                <w:color w:val="000000"/>
                <w:sz w:val="17"/>
                <w:szCs w:val="17"/>
              </w:rPr>
              <w:t>6</w:t>
            </w:r>
            <w:r w:rsidRPr="001045B7">
              <w:rPr>
                <w:rFonts w:asciiTheme="minorHAnsi" w:hAnsiTheme="minorHAnsi" w:cstheme="minorHAnsi"/>
                <w:bCs/>
                <w:color w:val="000000"/>
                <w:sz w:val="17"/>
                <w:szCs w:val="17"/>
              </w:rPr>
              <w:t>%</w:t>
            </w:r>
          </w:p>
        </w:tc>
      </w:tr>
    </w:tbl>
    <w:p w14:paraId="047795DE" w14:textId="695CAA74" w:rsidR="000F3BEA" w:rsidRPr="001045B7" w:rsidRDefault="000F3BEA" w:rsidP="009C739A">
      <w:pPr>
        <w:spacing w:line="276" w:lineRule="auto"/>
        <w:jc w:val="both"/>
        <w:rPr>
          <w:rFonts w:asciiTheme="minorHAnsi" w:hAnsiTheme="minorHAnsi" w:cstheme="minorHAnsi"/>
          <w:sz w:val="17"/>
          <w:szCs w:val="17"/>
        </w:rPr>
      </w:pPr>
    </w:p>
    <w:p w14:paraId="23040F84" w14:textId="4094B9AB" w:rsidR="000F3BEA" w:rsidRPr="001045B7" w:rsidRDefault="000F3BEA" w:rsidP="009C739A">
      <w:pPr>
        <w:spacing w:line="276" w:lineRule="auto"/>
        <w:jc w:val="both"/>
        <w:rPr>
          <w:rFonts w:asciiTheme="minorHAnsi" w:hAnsiTheme="minorHAnsi" w:cstheme="minorHAnsi"/>
          <w:sz w:val="17"/>
          <w:szCs w:val="17"/>
        </w:rPr>
      </w:pPr>
    </w:p>
    <w:p w14:paraId="24A39BC8" w14:textId="77777777" w:rsidR="000F3BEA" w:rsidRPr="001045B7" w:rsidRDefault="000F3BEA" w:rsidP="009C739A">
      <w:pPr>
        <w:spacing w:line="276" w:lineRule="auto"/>
        <w:jc w:val="both"/>
        <w:rPr>
          <w:rFonts w:asciiTheme="minorHAnsi" w:hAnsiTheme="minorHAnsi" w:cstheme="minorHAnsi"/>
          <w:sz w:val="17"/>
          <w:szCs w:val="17"/>
        </w:rPr>
      </w:pPr>
    </w:p>
    <w:p w14:paraId="078E32DC" w14:textId="42F718FD" w:rsidR="009C739A" w:rsidRPr="001045B7" w:rsidRDefault="009C739A" w:rsidP="009C739A">
      <w:pPr>
        <w:spacing w:line="276" w:lineRule="auto"/>
        <w:jc w:val="both"/>
        <w:rPr>
          <w:rFonts w:asciiTheme="minorHAnsi" w:hAnsiTheme="minorHAnsi" w:cstheme="minorHAnsi"/>
          <w:sz w:val="17"/>
          <w:szCs w:val="17"/>
        </w:rPr>
      </w:pPr>
    </w:p>
    <w:p w14:paraId="1C866E44" w14:textId="77777777" w:rsidR="00206ABB" w:rsidRPr="001045B7" w:rsidRDefault="00206ABB" w:rsidP="009C739A">
      <w:pPr>
        <w:spacing w:line="276" w:lineRule="auto"/>
        <w:jc w:val="both"/>
        <w:rPr>
          <w:rFonts w:asciiTheme="minorHAnsi" w:hAnsiTheme="minorHAnsi" w:cstheme="minorHAnsi"/>
          <w:sz w:val="17"/>
          <w:szCs w:val="17"/>
        </w:rPr>
      </w:pPr>
    </w:p>
    <w:p w14:paraId="52863F16" w14:textId="77777777" w:rsidR="00206ABB" w:rsidRPr="001045B7" w:rsidRDefault="00206ABB" w:rsidP="009C739A">
      <w:pPr>
        <w:spacing w:line="276" w:lineRule="auto"/>
        <w:jc w:val="both"/>
        <w:rPr>
          <w:rFonts w:asciiTheme="minorHAnsi" w:hAnsiTheme="minorHAnsi" w:cstheme="minorHAnsi"/>
          <w:sz w:val="17"/>
          <w:szCs w:val="17"/>
        </w:rPr>
      </w:pPr>
    </w:p>
    <w:p w14:paraId="796F1B24" w14:textId="418F444B" w:rsidR="00B47153" w:rsidRPr="001045B7" w:rsidRDefault="00B47153" w:rsidP="00B47153">
      <w:pPr>
        <w:spacing w:line="276" w:lineRule="auto"/>
        <w:ind w:left="708"/>
        <w:jc w:val="both"/>
        <w:rPr>
          <w:rFonts w:asciiTheme="minorHAnsi" w:hAnsiTheme="minorHAnsi" w:cstheme="minorHAnsi"/>
          <w:sz w:val="17"/>
          <w:szCs w:val="17"/>
        </w:rPr>
      </w:pPr>
      <w:r w:rsidRPr="001045B7">
        <w:rPr>
          <w:rFonts w:asciiTheme="minorHAnsi" w:hAnsiTheme="minorHAnsi" w:cstheme="minorHAnsi"/>
          <w:sz w:val="17"/>
          <w:szCs w:val="17"/>
        </w:rPr>
        <w:t>•</w:t>
      </w:r>
      <w:r w:rsidRPr="001045B7">
        <w:rPr>
          <w:rFonts w:asciiTheme="minorHAnsi" w:hAnsiTheme="minorHAnsi" w:cstheme="minorHAnsi"/>
          <w:sz w:val="17"/>
          <w:szCs w:val="17"/>
        </w:rPr>
        <w:tab/>
        <w:t>Otros Ingresos y Beneficios</w:t>
      </w:r>
    </w:p>
    <w:p w14:paraId="303BBCED" w14:textId="77777777" w:rsidR="00A16D5B" w:rsidRPr="001045B7" w:rsidRDefault="00A16D5B" w:rsidP="00B47153">
      <w:pPr>
        <w:spacing w:line="276" w:lineRule="auto"/>
        <w:ind w:left="708"/>
        <w:jc w:val="both"/>
        <w:rPr>
          <w:rFonts w:asciiTheme="minorHAnsi" w:hAnsiTheme="minorHAnsi" w:cstheme="minorHAnsi"/>
          <w:sz w:val="17"/>
          <w:szCs w:val="17"/>
        </w:rPr>
      </w:pPr>
    </w:p>
    <w:p w14:paraId="12515D51" w14:textId="6C59325C" w:rsidR="00CB13C9" w:rsidRPr="001045B7" w:rsidRDefault="00B47153" w:rsidP="00B4715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De los rubros de Ingresos Financieros, Incremento por Variación de Inventarios, Disminución del Exceso de Estimaciones por Pérdida o Deterioro u Obsolescencia, Disminución del Exceso de Provisiones, y de Otros Ingresos y Beneficios Varios, se informan los montos totales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66BFC13B" w14:textId="02122566" w:rsidR="00B47153" w:rsidRPr="001045B7" w:rsidRDefault="00B47153" w:rsidP="00B47153">
      <w:pPr>
        <w:spacing w:before="80" w:line="250" w:lineRule="exact"/>
        <w:ind w:left="709"/>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page" w:tblpX="4321" w:tblpY="89"/>
        <w:tblW w:w="6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1520"/>
        <w:gridCol w:w="1520"/>
      </w:tblGrid>
      <w:tr w:rsidR="00B47153" w:rsidRPr="001045B7" w14:paraId="60F6C697" w14:textId="77777777" w:rsidTr="006F64FC">
        <w:trPr>
          <w:trHeight w:val="300"/>
        </w:trPr>
        <w:tc>
          <w:tcPr>
            <w:tcW w:w="3300" w:type="dxa"/>
            <w:shd w:val="clear" w:color="auto" w:fill="BFBFBF" w:themeFill="background1" w:themeFillShade="BF"/>
            <w:vAlign w:val="center"/>
            <w:hideMark/>
          </w:tcPr>
          <w:p w14:paraId="1160126F" w14:textId="77777777" w:rsidR="00B47153" w:rsidRPr="001045B7" w:rsidRDefault="00B47153"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 de ingresos:</w:t>
            </w:r>
          </w:p>
        </w:tc>
        <w:tc>
          <w:tcPr>
            <w:tcW w:w="1520" w:type="dxa"/>
            <w:shd w:val="clear" w:color="auto" w:fill="BFBFBF" w:themeFill="background1" w:themeFillShade="BF"/>
            <w:vAlign w:val="center"/>
            <w:hideMark/>
          </w:tcPr>
          <w:p w14:paraId="2DAFD5B0" w14:textId="35F1D2BC" w:rsidR="00B47153" w:rsidRPr="001045B7" w:rsidRDefault="008E7DE6"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520" w:type="dxa"/>
            <w:shd w:val="clear" w:color="auto" w:fill="BFBFBF" w:themeFill="background1" w:themeFillShade="BF"/>
            <w:vAlign w:val="center"/>
            <w:hideMark/>
          </w:tcPr>
          <w:p w14:paraId="4DA57E9A" w14:textId="2393311F" w:rsidR="00B47153" w:rsidRPr="001045B7" w:rsidRDefault="008E7DE6"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54121E" w:rsidRPr="001045B7" w14:paraId="41661E6A" w14:textId="77777777" w:rsidTr="006F64FC">
        <w:trPr>
          <w:trHeight w:val="300"/>
        </w:trPr>
        <w:tc>
          <w:tcPr>
            <w:tcW w:w="3300" w:type="dxa"/>
            <w:shd w:val="clear" w:color="auto" w:fill="auto"/>
            <w:vAlign w:val="center"/>
            <w:hideMark/>
          </w:tcPr>
          <w:p w14:paraId="762D773A" w14:textId="77777777" w:rsidR="0054121E" w:rsidRPr="001045B7" w:rsidRDefault="0054121E" w:rsidP="0054121E">
            <w:pPr>
              <w:rPr>
                <w:rFonts w:asciiTheme="minorHAnsi" w:hAnsiTheme="minorHAnsi" w:cstheme="minorHAnsi"/>
                <w:color w:val="000000"/>
                <w:sz w:val="17"/>
                <w:szCs w:val="17"/>
              </w:rPr>
            </w:pPr>
            <w:r w:rsidRPr="001045B7">
              <w:rPr>
                <w:rFonts w:asciiTheme="minorHAnsi" w:hAnsiTheme="minorHAnsi" w:cstheme="minorHAnsi"/>
                <w:color w:val="000000"/>
                <w:sz w:val="17"/>
                <w:szCs w:val="17"/>
              </w:rPr>
              <w:t>Utilidades por Participación Patrimonial</w:t>
            </w:r>
          </w:p>
        </w:tc>
        <w:tc>
          <w:tcPr>
            <w:tcW w:w="1520" w:type="dxa"/>
            <w:shd w:val="clear" w:color="auto" w:fill="auto"/>
          </w:tcPr>
          <w:p w14:paraId="4943ED3F" w14:textId="52C6401A" w:rsidR="0054121E" w:rsidRPr="001045B7" w:rsidRDefault="00583726"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2,429,052,349 </w:t>
            </w:r>
            <w:r w:rsidR="0054121E" w:rsidRPr="001045B7">
              <w:rPr>
                <w:rFonts w:asciiTheme="minorHAnsi" w:hAnsiTheme="minorHAnsi" w:cstheme="minorHAnsi"/>
                <w:sz w:val="17"/>
                <w:szCs w:val="17"/>
              </w:rPr>
              <w:t xml:space="preserve">   </w:t>
            </w:r>
          </w:p>
        </w:tc>
        <w:tc>
          <w:tcPr>
            <w:tcW w:w="1520" w:type="dxa"/>
            <w:shd w:val="clear" w:color="auto" w:fill="auto"/>
          </w:tcPr>
          <w:p w14:paraId="4DF1696B" w14:textId="79B19CA5"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2,395,107,678 </w:t>
            </w:r>
          </w:p>
        </w:tc>
      </w:tr>
      <w:tr w:rsidR="0054121E" w:rsidRPr="001045B7" w14:paraId="4BD9BD17" w14:textId="77777777" w:rsidTr="006F64FC">
        <w:trPr>
          <w:trHeight w:val="300"/>
        </w:trPr>
        <w:tc>
          <w:tcPr>
            <w:tcW w:w="3300" w:type="dxa"/>
            <w:shd w:val="clear" w:color="auto" w:fill="auto"/>
            <w:vAlign w:val="center"/>
            <w:hideMark/>
          </w:tcPr>
          <w:p w14:paraId="05A99B9B" w14:textId="77777777" w:rsidR="0054121E" w:rsidRPr="001045B7" w:rsidRDefault="0054121E" w:rsidP="0054121E">
            <w:pPr>
              <w:rPr>
                <w:rFonts w:asciiTheme="minorHAnsi" w:hAnsiTheme="minorHAnsi" w:cstheme="minorHAnsi"/>
                <w:color w:val="000000"/>
                <w:sz w:val="17"/>
                <w:szCs w:val="17"/>
              </w:rPr>
            </w:pPr>
            <w:r w:rsidRPr="001045B7">
              <w:rPr>
                <w:rFonts w:asciiTheme="minorHAnsi" w:hAnsiTheme="minorHAnsi" w:cstheme="minorHAnsi"/>
                <w:color w:val="000000"/>
                <w:sz w:val="17"/>
                <w:szCs w:val="17"/>
              </w:rPr>
              <w:t>Otros Ingresos y Beneficios Varios</w:t>
            </w:r>
          </w:p>
        </w:tc>
        <w:tc>
          <w:tcPr>
            <w:tcW w:w="1520" w:type="dxa"/>
            <w:shd w:val="clear" w:color="auto" w:fill="auto"/>
            <w:hideMark/>
          </w:tcPr>
          <w:p w14:paraId="56C34DA4" w14:textId="22DCE15D"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1,172,118,133 </w:t>
            </w:r>
          </w:p>
        </w:tc>
        <w:tc>
          <w:tcPr>
            <w:tcW w:w="1520" w:type="dxa"/>
            <w:shd w:val="clear" w:color="auto" w:fill="auto"/>
            <w:hideMark/>
          </w:tcPr>
          <w:p w14:paraId="1D867F98" w14:textId="38885BA0" w:rsidR="0054121E" w:rsidRPr="001045B7" w:rsidRDefault="0054121E" w:rsidP="0054121E">
            <w:pPr>
              <w:jc w:val="right"/>
              <w:rPr>
                <w:rFonts w:asciiTheme="minorHAnsi" w:hAnsiTheme="minorHAnsi" w:cstheme="minorHAnsi"/>
                <w:sz w:val="17"/>
                <w:szCs w:val="17"/>
              </w:rPr>
            </w:pPr>
            <w:r w:rsidRPr="001045B7">
              <w:rPr>
                <w:rFonts w:asciiTheme="minorHAnsi" w:hAnsiTheme="minorHAnsi" w:cstheme="minorHAnsi"/>
                <w:sz w:val="17"/>
                <w:szCs w:val="17"/>
              </w:rPr>
              <w:t xml:space="preserve"> 716,377,638 </w:t>
            </w:r>
          </w:p>
        </w:tc>
      </w:tr>
      <w:tr w:rsidR="00583726" w:rsidRPr="001045B7" w14:paraId="33F12AA1" w14:textId="77777777" w:rsidTr="006F64FC">
        <w:trPr>
          <w:trHeight w:val="300"/>
        </w:trPr>
        <w:tc>
          <w:tcPr>
            <w:tcW w:w="3300" w:type="dxa"/>
            <w:shd w:val="clear" w:color="auto" w:fill="BFBFBF" w:themeFill="background1" w:themeFillShade="BF"/>
            <w:vAlign w:val="center"/>
            <w:hideMark/>
          </w:tcPr>
          <w:p w14:paraId="7B37F125" w14:textId="77777777" w:rsidR="00583726" w:rsidRPr="001045B7" w:rsidRDefault="00583726" w:rsidP="00583726">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xml:space="preserve">Total </w:t>
            </w:r>
          </w:p>
        </w:tc>
        <w:tc>
          <w:tcPr>
            <w:tcW w:w="1520" w:type="dxa"/>
            <w:shd w:val="clear" w:color="auto" w:fill="BFBFBF" w:themeFill="background1" w:themeFillShade="BF"/>
            <w:hideMark/>
          </w:tcPr>
          <w:p w14:paraId="2C2B17D2" w14:textId="7CF39F67" w:rsidR="00583726" w:rsidRPr="001045B7" w:rsidRDefault="00583726" w:rsidP="00583726">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3,601,170,482 </w:t>
            </w:r>
          </w:p>
        </w:tc>
        <w:tc>
          <w:tcPr>
            <w:tcW w:w="1520" w:type="dxa"/>
            <w:shd w:val="clear" w:color="auto" w:fill="BFBFBF" w:themeFill="background1" w:themeFillShade="BF"/>
            <w:noWrap/>
            <w:hideMark/>
          </w:tcPr>
          <w:p w14:paraId="0C3DA50A" w14:textId="44841C2F" w:rsidR="00583726" w:rsidRPr="001045B7" w:rsidRDefault="00583726" w:rsidP="00583726">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3,111,485,317 </w:t>
            </w:r>
          </w:p>
        </w:tc>
      </w:tr>
    </w:tbl>
    <w:p w14:paraId="0D3172EE" w14:textId="7AEA81BF" w:rsidR="00B47153" w:rsidRPr="001045B7" w:rsidRDefault="00B47153" w:rsidP="00B47153">
      <w:pPr>
        <w:spacing w:before="80" w:line="250" w:lineRule="exact"/>
        <w:ind w:left="709"/>
        <w:jc w:val="center"/>
        <w:rPr>
          <w:rFonts w:asciiTheme="minorHAnsi" w:eastAsia="Calibri" w:hAnsiTheme="minorHAnsi" w:cstheme="minorHAnsi"/>
          <w:b/>
          <w:spacing w:val="-1"/>
          <w:sz w:val="17"/>
          <w:szCs w:val="17"/>
        </w:rPr>
      </w:pPr>
    </w:p>
    <w:p w14:paraId="11808762" w14:textId="7AB640E4" w:rsidR="00B47153" w:rsidRPr="001045B7" w:rsidRDefault="00B47153" w:rsidP="00B47153">
      <w:pPr>
        <w:spacing w:before="80" w:line="250" w:lineRule="exact"/>
        <w:ind w:left="709"/>
        <w:jc w:val="center"/>
        <w:rPr>
          <w:rFonts w:asciiTheme="minorHAnsi" w:eastAsia="Calibri" w:hAnsiTheme="minorHAnsi" w:cstheme="minorHAnsi"/>
          <w:b/>
          <w:spacing w:val="-1"/>
          <w:sz w:val="17"/>
          <w:szCs w:val="17"/>
        </w:rPr>
      </w:pPr>
    </w:p>
    <w:p w14:paraId="3CE46902" w14:textId="320270F0" w:rsidR="00B47153" w:rsidRPr="001045B7" w:rsidRDefault="00B47153" w:rsidP="00B47153">
      <w:pPr>
        <w:spacing w:before="80" w:line="250" w:lineRule="exact"/>
        <w:ind w:left="709"/>
        <w:jc w:val="center"/>
        <w:rPr>
          <w:rFonts w:asciiTheme="minorHAnsi" w:eastAsia="Calibri" w:hAnsiTheme="minorHAnsi" w:cstheme="minorHAnsi"/>
          <w:b/>
          <w:spacing w:val="-1"/>
          <w:sz w:val="17"/>
          <w:szCs w:val="17"/>
        </w:rPr>
      </w:pPr>
    </w:p>
    <w:p w14:paraId="6C68D8F7" w14:textId="3B1ED915" w:rsidR="00B47153" w:rsidRPr="001045B7" w:rsidRDefault="00B47153" w:rsidP="00B47153">
      <w:pPr>
        <w:spacing w:line="276" w:lineRule="auto"/>
        <w:jc w:val="both"/>
        <w:rPr>
          <w:rFonts w:asciiTheme="minorHAnsi" w:hAnsiTheme="minorHAnsi" w:cstheme="minorHAnsi"/>
          <w:sz w:val="17"/>
          <w:szCs w:val="17"/>
        </w:rPr>
      </w:pPr>
    </w:p>
    <w:p w14:paraId="527D117E" w14:textId="77777777" w:rsidR="00B47153" w:rsidRPr="001045B7" w:rsidRDefault="00B47153" w:rsidP="00860054">
      <w:pPr>
        <w:spacing w:line="276" w:lineRule="auto"/>
        <w:ind w:left="708"/>
        <w:jc w:val="both"/>
        <w:rPr>
          <w:rFonts w:asciiTheme="minorHAnsi" w:hAnsiTheme="minorHAnsi" w:cstheme="minorHAnsi"/>
          <w:sz w:val="17"/>
          <w:szCs w:val="17"/>
        </w:rPr>
      </w:pPr>
    </w:p>
    <w:p w14:paraId="328AF41E" w14:textId="4762E36A" w:rsidR="00152D1C" w:rsidRPr="001045B7" w:rsidRDefault="00152D1C" w:rsidP="000F3BEA">
      <w:pPr>
        <w:spacing w:line="276" w:lineRule="auto"/>
        <w:jc w:val="both"/>
        <w:rPr>
          <w:rFonts w:asciiTheme="minorHAnsi" w:hAnsiTheme="minorHAnsi" w:cstheme="minorHAnsi"/>
          <w:b/>
          <w:sz w:val="17"/>
          <w:szCs w:val="17"/>
        </w:rPr>
      </w:pPr>
    </w:p>
    <w:p w14:paraId="37BB2868" w14:textId="220A01E3" w:rsidR="004532BD" w:rsidRPr="001045B7" w:rsidRDefault="004532BD" w:rsidP="000F3BEA">
      <w:pPr>
        <w:spacing w:line="276" w:lineRule="auto"/>
        <w:jc w:val="both"/>
        <w:rPr>
          <w:rFonts w:asciiTheme="minorHAnsi" w:hAnsiTheme="minorHAnsi" w:cstheme="minorHAnsi"/>
          <w:b/>
          <w:sz w:val="17"/>
          <w:szCs w:val="17"/>
        </w:rPr>
      </w:pPr>
    </w:p>
    <w:p w14:paraId="74F72EB7" w14:textId="49C806BC" w:rsidR="004532BD" w:rsidRPr="001045B7" w:rsidRDefault="004532BD" w:rsidP="000F3BEA">
      <w:pPr>
        <w:spacing w:line="276" w:lineRule="auto"/>
        <w:jc w:val="both"/>
        <w:rPr>
          <w:rFonts w:asciiTheme="minorHAnsi" w:hAnsiTheme="minorHAnsi" w:cstheme="minorHAnsi"/>
          <w:b/>
          <w:sz w:val="17"/>
          <w:szCs w:val="17"/>
        </w:rPr>
      </w:pPr>
    </w:p>
    <w:p w14:paraId="3750C7A7" w14:textId="76B5C3A2" w:rsidR="004532BD" w:rsidRPr="001045B7" w:rsidRDefault="00462A15" w:rsidP="000F3BEA">
      <w:pPr>
        <w:spacing w:line="276" w:lineRule="auto"/>
        <w:jc w:val="both"/>
        <w:rPr>
          <w:rFonts w:asciiTheme="minorHAnsi" w:hAnsiTheme="minorHAnsi" w:cstheme="minorHAnsi"/>
          <w:b/>
          <w:sz w:val="17"/>
          <w:szCs w:val="17"/>
        </w:rPr>
      </w:pPr>
      <w:r w:rsidRPr="00462A15">
        <w:rPr>
          <w:rFonts w:asciiTheme="minorHAnsi" w:hAnsiTheme="minorHAnsi" w:cstheme="minorHAnsi"/>
          <w:bCs/>
          <w:sz w:val="17"/>
          <w:szCs w:val="17"/>
        </w:rPr>
        <w:t xml:space="preserve">Respecto al apartado A Ingresos Totales del Balance Presupuestario, conforme a lo dispuesto por la Ley de Disciplina Financiera de las Entidades Federativas y los Municipios, se informa que las cifras mostradas en las columnas del estimado/aprobado, devengado y recaudado/pagado, difiere de las previstas en los totales informados en el Estado Analítico de Ingresos Detallado, en el apartado IV.  Ingresos Totales, ello dado que en el inciso </w:t>
      </w:r>
      <w:proofErr w:type="spellStart"/>
      <w:r w:rsidRPr="00462A15">
        <w:rPr>
          <w:rFonts w:asciiTheme="minorHAnsi" w:hAnsiTheme="minorHAnsi" w:cstheme="minorHAnsi"/>
          <w:bCs/>
          <w:sz w:val="17"/>
          <w:szCs w:val="17"/>
        </w:rPr>
        <w:t>A3</w:t>
      </w:r>
      <w:proofErr w:type="spellEnd"/>
      <w:r w:rsidRPr="00462A15">
        <w:rPr>
          <w:rFonts w:asciiTheme="minorHAnsi" w:hAnsiTheme="minorHAnsi" w:cstheme="minorHAnsi"/>
          <w:bCs/>
          <w:sz w:val="17"/>
          <w:szCs w:val="17"/>
        </w:rPr>
        <w:t>.- Financiamiento Neto, se refleja lo establecido en el Artículo 2 Fracc. XXII de la Ley de Disciplina Financiera de las Entidades Federativas y los Municipios, en la cual define el Financiamiento Neto, como “la suma de las disposiciones realizadas de un Financiamiento, y las Disponibilidades, menos las amortizaciones efectuadas de la Deuda Pública;”, en apego a lo establecido en el llenado del Formato 4 de la citada normativa.</w:t>
      </w:r>
    </w:p>
    <w:p w14:paraId="20E192C1" w14:textId="08C7C3BE" w:rsidR="004532BD" w:rsidRPr="001045B7" w:rsidRDefault="004532BD" w:rsidP="000F3BEA">
      <w:pPr>
        <w:spacing w:line="276" w:lineRule="auto"/>
        <w:jc w:val="both"/>
        <w:rPr>
          <w:rFonts w:asciiTheme="minorHAnsi" w:hAnsiTheme="minorHAnsi" w:cstheme="minorHAnsi"/>
          <w:b/>
          <w:sz w:val="17"/>
          <w:szCs w:val="17"/>
        </w:rPr>
      </w:pPr>
    </w:p>
    <w:p w14:paraId="72AD0A64" w14:textId="73748B45" w:rsidR="004532BD" w:rsidRPr="001045B7" w:rsidRDefault="004532BD" w:rsidP="000F3BEA">
      <w:pPr>
        <w:spacing w:line="276" w:lineRule="auto"/>
        <w:jc w:val="both"/>
        <w:rPr>
          <w:rFonts w:asciiTheme="minorHAnsi" w:hAnsiTheme="minorHAnsi" w:cstheme="minorHAnsi"/>
          <w:b/>
          <w:sz w:val="17"/>
          <w:szCs w:val="17"/>
        </w:rPr>
      </w:pPr>
    </w:p>
    <w:p w14:paraId="590FDA77" w14:textId="361F24F3" w:rsidR="004532BD" w:rsidRDefault="004532BD" w:rsidP="000F3BEA">
      <w:pPr>
        <w:spacing w:line="276" w:lineRule="auto"/>
        <w:jc w:val="both"/>
        <w:rPr>
          <w:rFonts w:asciiTheme="minorHAnsi" w:hAnsiTheme="minorHAnsi" w:cstheme="minorHAnsi"/>
          <w:b/>
          <w:sz w:val="17"/>
          <w:szCs w:val="17"/>
        </w:rPr>
      </w:pPr>
    </w:p>
    <w:p w14:paraId="63D944EF" w14:textId="77777777" w:rsidR="00462A15" w:rsidRPr="00A9601E" w:rsidRDefault="00462A15" w:rsidP="000F3BEA">
      <w:pPr>
        <w:spacing w:line="276" w:lineRule="auto"/>
        <w:jc w:val="both"/>
        <w:rPr>
          <w:rFonts w:asciiTheme="minorHAnsi" w:hAnsiTheme="minorHAnsi" w:cstheme="minorHAnsi"/>
          <w:b/>
          <w:i/>
          <w:iCs/>
          <w:sz w:val="17"/>
          <w:szCs w:val="17"/>
        </w:rPr>
      </w:pPr>
    </w:p>
    <w:p w14:paraId="26063855" w14:textId="77777777" w:rsidR="00A330AF" w:rsidRPr="001045B7" w:rsidRDefault="00A330AF" w:rsidP="006C7378">
      <w:pPr>
        <w:spacing w:line="276" w:lineRule="auto"/>
        <w:jc w:val="both"/>
        <w:rPr>
          <w:rFonts w:asciiTheme="minorHAnsi" w:hAnsiTheme="minorHAnsi" w:cstheme="minorHAnsi"/>
          <w:b/>
          <w:sz w:val="17"/>
          <w:szCs w:val="17"/>
        </w:rPr>
      </w:pPr>
    </w:p>
    <w:p w14:paraId="5E1A252B" w14:textId="7FC790AD" w:rsidR="00B47153" w:rsidRPr="001045B7" w:rsidRDefault="001325A4" w:rsidP="00CB13C9">
      <w:pPr>
        <w:spacing w:line="276" w:lineRule="auto"/>
        <w:ind w:left="708"/>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Gastos y Otras Perdidas</w:t>
      </w:r>
    </w:p>
    <w:p w14:paraId="7E18B314" w14:textId="411B283F" w:rsidR="004E2603" w:rsidRPr="001045B7" w:rsidRDefault="004E2603" w:rsidP="00AB3F3C">
      <w:pPr>
        <w:spacing w:line="276" w:lineRule="auto"/>
        <w:jc w:val="both"/>
        <w:rPr>
          <w:rFonts w:asciiTheme="minorHAnsi" w:hAnsiTheme="minorHAnsi" w:cstheme="minorHAnsi"/>
          <w:sz w:val="17"/>
          <w:szCs w:val="17"/>
        </w:rPr>
      </w:pPr>
    </w:p>
    <w:p w14:paraId="49E3CE61" w14:textId="77777777" w:rsidR="006C7378" w:rsidRPr="001045B7" w:rsidRDefault="006C7378" w:rsidP="00AB3F3C">
      <w:pPr>
        <w:spacing w:line="276" w:lineRule="auto"/>
        <w:jc w:val="both"/>
        <w:rPr>
          <w:rFonts w:asciiTheme="minorHAnsi" w:hAnsiTheme="minorHAnsi" w:cstheme="minorHAnsi"/>
          <w:sz w:val="17"/>
          <w:szCs w:val="17"/>
        </w:rPr>
      </w:pPr>
    </w:p>
    <w:p w14:paraId="3EA4B921" w14:textId="57ABD58A" w:rsidR="00B47153" w:rsidRPr="001045B7" w:rsidRDefault="00B47153" w:rsidP="00AF620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En el apartado de Gastos y otras pérdidas se informan los grupos de Gastos de Funcionamiento; Transferencias, Asignaciones, Subsidios y Otras Ayudas; Participaciones y Aportaciones; Intereses, Comisiones y Otros Gastos de la Deuda Pública; Otros Gastos y Pérdidas Extraordinarias; e Inversión Pública, los montos totales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762C05F7" w14:textId="77777777" w:rsidR="00A330AF" w:rsidRPr="001045B7" w:rsidRDefault="00A330AF" w:rsidP="00AF6204">
      <w:pPr>
        <w:spacing w:line="276" w:lineRule="auto"/>
        <w:jc w:val="both"/>
        <w:rPr>
          <w:rFonts w:asciiTheme="minorHAnsi" w:hAnsiTheme="minorHAnsi" w:cstheme="minorHAnsi"/>
          <w:sz w:val="17"/>
          <w:szCs w:val="17"/>
        </w:rPr>
      </w:pPr>
    </w:p>
    <w:p w14:paraId="07E1BD83" w14:textId="77777777" w:rsidR="00B47153" w:rsidRPr="001045B7" w:rsidRDefault="00B47153" w:rsidP="00B47153">
      <w:pPr>
        <w:spacing w:before="80" w:line="250" w:lineRule="exact"/>
        <w:ind w:left="6381"/>
        <w:jc w:val="both"/>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tbl>
      <w:tblPr>
        <w:tblW w:w="7796" w:type="dxa"/>
        <w:tblInd w:w="2405" w:type="dxa"/>
        <w:tblCellMar>
          <w:left w:w="70" w:type="dxa"/>
          <w:right w:w="70" w:type="dxa"/>
        </w:tblCellMar>
        <w:tblLook w:val="04A0" w:firstRow="1" w:lastRow="0" w:firstColumn="1" w:lastColumn="0" w:noHBand="0" w:noVBand="1"/>
      </w:tblPr>
      <w:tblGrid>
        <w:gridCol w:w="4857"/>
        <w:gridCol w:w="1476"/>
        <w:gridCol w:w="1463"/>
      </w:tblGrid>
      <w:tr w:rsidR="00B47153" w:rsidRPr="001045B7" w14:paraId="2B8ABD79" w14:textId="77777777" w:rsidTr="00001825">
        <w:trPr>
          <w:trHeight w:val="300"/>
        </w:trPr>
        <w:tc>
          <w:tcPr>
            <w:tcW w:w="48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300555" w14:textId="77777777" w:rsidR="00B47153" w:rsidRPr="001045B7" w:rsidRDefault="00B47153"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476" w:type="dxa"/>
            <w:tcBorders>
              <w:top w:val="single" w:sz="4" w:space="0" w:color="auto"/>
              <w:left w:val="nil"/>
              <w:bottom w:val="single" w:sz="4" w:space="0" w:color="auto"/>
              <w:right w:val="single" w:sz="4" w:space="0" w:color="auto"/>
            </w:tcBorders>
            <w:shd w:val="clear" w:color="000000" w:fill="BFBFBF"/>
            <w:vAlign w:val="center"/>
            <w:hideMark/>
          </w:tcPr>
          <w:p w14:paraId="1F49774E" w14:textId="782B80A1" w:rsidR="00B47153"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6072B4B0" w14:textId="2F46F2AD" w:rsidR="00B47153"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1271CC" w:rsidRPr="001045B7" w14:paraId="2A1E0C40"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4939644"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Gastos de Funcionamiento</w:t>
            </w:r>
          </w:p>
        </w:tc>
        <w:tc>
          <w:tcPr>
            <w:tcW w:w="1476" w:type="dxa"/>
            <w:tcBorders>
              <w:top w:val="nil"/>
              <w:left w:val="nil"/>
              <w:bottom w:val="single" w:sz="4" w:space="0" w:color="auto"/>
              <w:right w:val="single" w:sz="4" w:space="0" w:color="auto"/>
            </w:tcBorders>
            <w:shd w:val="clear" w:color="auto" w:fill="auto"/>
            <w:hideMark/>
          </w:tcPr>
          <w:p w14:paraId="2CF850DF" w14:textId="1C56B787"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7,394,169,911 </w:t>
            </w:r>
          </w:p>
        </w:tc>
        <w:tc>
          <w:tcPr>
            <w:tcW w:w="1463" w:type="dxa"/>
            <w:tcBorders>
              <w:top w:val="nil"/>
              <w:left w:val="nil"/>
              <w:bottom w:val="single" w:sz="4" w:space="0" w:color="auto"/>
              <w:right w:val="single" w:sz="4" w:space="0" w:color="auto"/>
            </w:tcBorders>
            <w:shd w:val="clear" w:color="auto" w:fill="auto"/>
            <w:hideMark/>
          </w:tcPr>
          <w:p w14:paraId="4D434E42" w14:textId="28651BF0"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6,847,738,985 </w:t>
            </w:r>
          </w:p>
        </w:tc>
      </w:tr>
      <w:tr w:rsidR="001271CC" w:rsidRPr="001045B7" w14:paraId="7A069B21" w14:textId="77777777" w:rsidTr="00001825">
        <w:trPr>
          <w:trHeight w:val="271"/>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5DC8B7A8" w14:textId="77777777" w:rsidR="001271CC" w:rsidRPr="001045B7" w:rsidRDefault="001271CC" w:rsidP="001271CC">
            <w:pPr>
              <w:ind w:firstLineChars="400" w:firstLine="680"/>
              <w:rPr>
                <w:rFonts w:asciiTheme="minorHAnsi" w:hAnsiTheme="minorHAnsi" w:cstheme="minorHAnsi"/>
                <w:color w:val="000000"/>
                <w:sz w:val="17"/>
                <w:szCs w:val="17"/>
              </w:rPr>
            </w:pPr>
            <w:r w:rsidRPr="001045B7">
              <w:rPr>
                <w:rFonts w:asciiTheme="minorHAnsi" w:hAnsiTheme="minorHAnsi" w:cstheme="minorHAnsi"/>
                <w:color w:val="000000"/>
                <w:sz w:val="17"/>
                <w:szCs w:val="17"/>
              </w:rPr>
              <w:t>Servicios Personales</w:t>
            </w:r>
          </w:p>
        </w:tc>
        <w:tc>
          <w:tcPr>
            <w:tcW w:w="1476" w:type="dxa"/>
            <w:tcBorders>
              <w:top w:val="nil"/>
              <w:left w:val="nil"/>
              <w:bottom w:val="single" w:sz="4" w:space="0" w:color="auto"/>
              <w:right w:val="single" w:sz="4" w:space="0" w:color="auto"/>
            </w:tcBorders>
            <w:shd w:val="clear" w:color="auto" w:fill="auto"/>
            <w:hideMark/>
          </w:tcPr>
          <w:p w14:paraId="783AA203" w14:textId="39132164"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2,775,234,112 </w:t>
            </w:r>
          </w:p>
        </w:tc>
        <w:tc>
          <w:tcPr>
            <w:tcW w:w="1463" w:type="dxa"/>
            <w:tcBorders>
              <w:top w:val="nil"/>
              <w:left w:val="nil"/>
              <w:bottom w:val="single" w:sz="4" w:space="0" w:color="auto"/>
              <w:right w:val="single" w:sz="4" w:space="0" w:color="auto"/>
            </w:tcBorders>
            <w:shd w:val="clear" w:color="auto" w:fill="auto"/>
            <w:hideMark/>
          </w:tcPr>
          <w:p w14:paraId="7C664233" w14:textId="25869C96"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2,641,384,273 </w:t>
            </w:r>
          </w:p>
        </w:tc>
      </w:tr>
      <w:tr w:rsidR="001271CC" w:rsidRPr="001045B7" w14:paraId="59E37AE5"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A7A43E3" w14:textId="77777777" w:rsidR="001271CC" w:rsidRPr="001045B7" w:rsidRDefault="001271CC" w:rsidP="001271CC">
            <w:pPr>
              <w:ind w:firstLineChars="400" w:firstLine="680"/>
              <w:rPr>
                <w:rFonts w:asciiTheme="minorHAnsi" w:hAnsiTheme="minorHAnsi" w:cstheme="minorHAnsi"/>
                <w:color w:val="000000"/>
                <w:sz w:val="17"/>
                <w:szCs w:val="17"/>
              </w:rPr>
            </w:pPr>
            <w:r w:rsidRPr="001045B7">
              <w:rPr>
                <w:rFonts w:asciiTheme="minorHAnsi" w:hAnsiTheme="minorHAnsi" w:cstheme="minorHAnsi"/>
                <w:color w:val="000000"/>
                <w:sz w:val="17"/>
                <w:szCs w:val="17"/>
              </w:rPr>
              <w:t>Materiales y Suministros</w:t>
            </w:r>
          </w:p>
        </w:tc>
        <w:tc>
          <w:tcPr>
            <w:tcW w:w="1476" w:type="dxa"/>
            <w:tcBorders>
              <w:top w:val="nil"/>
              <w:left w:val="nil"/>
              <w:bottom w:val="single" w:sz="4" w:space="0" w:color="auto"/>
              <w:right w:val="single" w:sz="4" w:space="0" w:color="auto"/>
            </w:tcBorders>
            <w:shd w:val="clear" w:color="auto" w:fill="auto"/>
            <w:hideMark/>
          </w:tcPr>
          <w:p w14:paraId="6F8B41E4" w14:textId="6EF928EE"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336,716,575 </w:t>
            </w:r>
          </w:p>
        </w:tc>
        <w:tc>
          <w:tcPr>
            <w:tcW w:w="1463" w:type="dxa"/>
            <w:tcBorders>
              <w:top w:val="nil"/>
              <w:left w:val="nil"/>
              <w:bottom w:val="single" w:sz="4" w:space="0" w:color="auto"/>
              <w:right w:val="single" w:sz="4" w:space="0" w:color="auto"/>
            </w:tcBorders>
            <w:shd w:val="clear" w:color="auto" w:fill="auto"/>
            <w:hideMark/>
          </w:tcPr>
          <w:p w14:paraId="4C6BAD48" w14:textId="20A8BBF9"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337,771,826 </w:t>
            </w:r>
          </w:p>
        </w:tc>
      </w:tr>
      <w:tr w:rsidR="001271CC" w:rsidRPr="001045B7" w14:paraId="5820658C"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6EE97EF" w14:textId="77777777" w:rsidR="001271CC" w:rsidRPr="001045B7" w:rsidRDefault="001271CC" w:rsidP="001271CC">
            <w:pPr>
              <w:ind w:firstLineChars="400" w:firstLine="680"/>
              <w:rPr>
                <w:rFonts w:asciiTheme="minorHAnsi" w:hAnsiTheme="minorHAnsi" w:cstheme="minorHAnsi"/>
                <w:color w:val="000000"/>
                <w:sz w:val="17"/>
                <w:szCs w:val="17"/>
              </w:rPr>
            </w:pPr>
            <w:r w:rsidRPr="001045B7">
              <w:rPr>
                <w:rFonts w:asciiTheme="minorHAnsi" w:hAnsiTheme="minorHAnsi" w:cstheme="minorHAnsi"/>
                <w:color w:val="000000"/>
                <w:sz w:val="17"/>
                <w:szCs w:val="17"/>
              </w:rPr>
              <w:t>Servicios Generales</w:t>
            </w:r>
          </w:p>
        </w:tc>
        <w:tc>
          <w:tcPr>
            <w:tcW w:w="1476" w:type="dxa"/>
            <w:tcBorders>
              <w:top w:val="nil"/>
              <w:left w:val="nil"/>
              <w:bottom w:val="single" w:sz="4" w:space="0" w:color="auto"/>
              <w:right w:val="single" w:sz="4" w:space="0" w:color="auto"/>
            </w:tcBorders>
            <w:shd w:val="clear" w:color="auto" w:fill="auto"/>
            <w:hideMark/>
          </w:tcPr>
          <w:p w14:paraId="0A475F27" w14:textId="2773C8AD"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4,282,219,225 </w:t>
            </w:r>
          </w:p>
        </w:tc>
        <w:tc>
          <w:tcPr>
            <w:tcW w:w="1463" w:type="dxa"/>
            <w:tcBorders>
              <w:top w:val="nil"/>
              <w:left w:val="nil"/>
              <w:bottom w:val="single" w:sz="4" w:space="0" w:color="auto"/>
              <w:right w:val="single" w:sz="4" w:space="0" w:color="auto"/>
            </w:tcBorders>
            <w:shd w:val="clear" w:color="auto" w:fill="auto"/>
            <w:hideMark/>
          </w:tcPr>
          <w:p w14:paraId="6F1A1EE7" w14:textId="61C77A6F"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3,868,582,886 </w:t>
            </w:r>
          </w:p>
        </w:tc>
      </w:tr>
      <w:tr w:rsidR="001271CC" w:rsidRPr="001045B7" w14:paraId="1663767A" w14:textId="77777777" w:rsidTr="00001825">
        <w:trPr>
          <w:trHeight w:val="337"/>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DE49FC5"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Transferencias, Asignaciones, Subsidios y Otras Ayudas</w:t>
            </w:r>
          </w:p>
        </w:tc>
        <w:tc>
          <w:tcPr>
            <w:tcW w:w="1476" w:type="dxa"/>
            <w:tcBorders>
              <w:top w:val="nil"/>
              <w:left w:val="nil"/>
              <w:bottom w:val="single" w:sz="4" w:space="0" w:color="auto"/>
              <w:right w:val="single" w:sz="4" w:space="0" w:color="auto"/>
            </w:tcBorders>
            <w:shd w:val="clear" w:color="auto" w:fill="auto"/>
            <w:hideMark/>
          </w:tcPr>
          <w:p w14:paraId="76D248B1" w14:textId="670FC559"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36,885,376,907 </w:t>
            </w:r>
          </w:p>
        </w:tc>
        <w:tc>
          <w:tcPr>
            <w:tcW w:w="1463" w:type="dxa"/>
            <w:tcBorders>
              <w:top w:val="nil"/>
              <w:left w:val="nil"/>
              <w:bottom w:val="single" w:sz="4" w:space="0" w:color="auto"/>
              <w:right w:val="single" w:sz="4" w:space="0" w:color="auto"/>
            </w:tcBorders>
            <w:shd w:val="clear" w:color="auto" w:fill="auto"/>
            <w:hideMark/>
          </w:tcPr>
          <w:p w14:paraId="7C3B9F84" w14:textId="659CF7B5"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31,126,628,023 </w:t>
            </w:r>
          </w:p>
        </w:tc>
      </w:tr>
      <w:tr w:rsidR="001271CC" w:rsidRPr="001045B7" w14:paraId="0B7A2C38"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0C4F2FA"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Participaciones y Aportaciones</w:t>
            </w:r>
          </w:p>
        </w:tc>
        <w:tc>
          <w:tcPr>
            <w:tcW w:w="1476" w:type="dxa"/>
            <w:tcBorders>
              <w:top w:val="nil"/>
              <w:left w:val="nil"/>
              <w:bottom w:val="single" w:sz="4" w:space="0" w:color="auto"/>
              <w:right w:val="single" w:sz="4" w:space="0" w:color="auto"/>
            </w:tcBorders>
            <w:shd w:val="clear" w:color="auto" w:fill="auto"/>
            <w:hideMark/>
          </w:tcPr>
          <w:p w14:paraId="1EAA0D55" w14:textId="60EF1B10"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13,216,310,178 </w:t>
            </w:r>
          </w:p>
        </w:tc>
        <w:tc>
          <w:tcPr>
            <w:tcW w:w="1463" w:type="dxa"/>
            <w:tcBorders>
              <w:top w:val="nil"/>
              <w:left w:val="nil"/>
              <w:bottom w:val="single" w:sz="4" w:space="0" w:color="auto"/>
              <w:right w:val="single" w:sz="4" w:space="0" w:color="auto"/>
            </w:tcBorders>
            <w:shd w:val="clear" w:color="auto" w:fill="auto"/>
            <w:hideMark/>
          </w:tcPr>
          <w:p w14:paraId="7CCE254E" w14:textId="7C7DF9C6"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12,677,883,694 </w:t>
            </w:r>
          </w:p>
        </w:tc>
      </w:tr>
      <w:tr w:rsidR="001271CC" w:rsidRPr="001045B7" w14:paraId="7AF6408B" w14:textId="77777777" w:rsidTr="00001825">
        <w:trPr>
          <w:trHeight w:val="247"/>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8FF1A69"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Intereses, Comisiones y Otros Gastos de la Deuda Pública</w:t>
            </w:r>
          </w:p>
        </w:tc>
        <w:tc>
          <w:tcPr>
            <w:tcW w:w="1476" w:type="dxa"/>
            <w:tcBorders>
              <w:top w:val="nil"/>
              <w:left w:val="nil"/>
              <w:bottom w:val="single" w:sz="4" w:space="0" w:color="auto"/>
              <w:right w:val="single" w:sz="4" w:space="0" w:color="auto"/>
            </w:tcBorders>
            <w:shd w:val="clear" w:color="auto" w:fill="auto"/>
            <w:hideMark/>
          </w:tcPr>
          <w:p w14:paraId="1DA52595" w14:textId="5550CD1A"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277,600,560 </w:t>
            </w:r>
          </w:p>
        </w:tc>
        <w:tc>
          <w:tcPr>
            <w:tcW w:w="1463" w:type="dxa"/>
            <w:tcBorders>
              <w:top w:val="nil"/>
              <w:left w:val="nil"/>
              <w:bottom w:val="single" w:sz="4" w:space="0" w:color="auto"/>
              <w:right w:val="single" w:sz="4" w:space="0" w:color="auto"/>
            </w:tcBorders>
            <w:shd w:val="clear" w:color="auto" w:fill="auto"/>
            <w:hideMark/>
          </w:tcPr>
          <w:p w14:paraId="639F8D22" w14:textId="0387B7BD"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21,176,717 </w:t>
            </w:r>
          </w:p>
        </w:tc>
      </w:tr>
      <w:tr w:rsidR="001271CC" w:rsidRPr="001045B7" w14:paraId="74A476C1"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5417039D"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Otros Gastos y Pérdidas Extraordinarias</w:t>
            </w:r>
          </w:p>
        </w:tc>
        <w:tc>
          <w:tcPr>
            <w:tcW w:w="1476" w:type="dxa"/>
            <w:tcBorders>
              <w:top w:val="nil"/>
              <w:left w:val="nil"/>
              <w:bottom w:val="single" w:sz="4" w:space="0" w:color="auto"/>
              <w:right w:val="single" w:sz="4" w:space="0" w:color="auto"/>
            </w:tcBorders>
            <w:shd w:val="clear" w:color="000000" w:fill="FFFFFF"/>
            <w:hideMark/>
          </w:tcPr>
          <w:p w14:paraId="11F28643" w14:textId="46AF47DA"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w:t>
            </w:r>
            <w:r w:rsidR="00535D25" w:rsidRPr="001045B7">
              <w:rPr>
                <w:rFonts w:asciiTheme="minorHAnsi" w:hAnsiTheme="minorHAnsi" w:cstheme="minorHAnsi"/>
                <w:sz w:val="17"/>
                <w:szCs w:val="17"/>
              </w:rPr>
              <w:t xml:space="preserve"> 987,504,027</w:t>
            </w:r>
          </w:p>
        </w:tc>
        <w:tc>
          <w:tcPr>
            <w:tcW w:w="1463" w:type="dxa"/>
            <w:tcBorders>
              <w:top w:val="nil"/>
              <w:left w:val="nil"/>
              <w:bottom w:val="single" w:sz="4" w:space="0" w:color="auto"/>
              <w:right w:val="single" w:sz="4" w:space="0" w:color="auto"/>
            </w:tcBorders>
            <w:shd w:val="clear" w:color="auto" w:fill="auto"/>
            <w:hideMark/>
          </w:tcPr>
          <w:p w14:paraId="20158538" w14:textId="20FFA3D0"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1,602,828,112 </w:t>
            </w:r>
          </w:p>
        </w:tc>
      </w:tr>
      <w:tr w:rsidR="001271CC" w:rsidRPr="001045B7" w14:paraId="04D6DAC8"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46CB9E8" w14:textId="77777777" w:rsidR="001271CC" w:rsidRPr="001045B7" w:rsidRDefault="001271CC" w:rsidP="001271CC">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Inversión Pública</w:t>
            </w:r>
          </w:p>
        </w:tc>
        <w:tc>
          <w:tcPr>
            <w:tcW w:w="1476" w:type="dxa"/>
            <w:tcBorders>
              <w:top w:val="nil"/>
              <w:left w:val="nil"/>
              <w:bottom w:val="single" w:sz="4" w:space="0" w:color="auto"/>
              <w:right w:val="single" w:sz="4" w:space="0" w:color="auto"/>
            </w:tcBorders>
            <w:shd w:val="clear" w:color="auto" w:fill="auto"/>
            <w:hideMark/>
          </w:tcPr>
          <w:p w14:paraId="3A24D36C" w14:textId="3ECA3EF0"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858,612,089 </w:t>
            </w:r>
          </w:p>
        </w:tc>
        <w:tc>
          <w:tcPr>
            <w:tcW w:w="1463" w:type="dxa"/>
            <w:tcBorders>
              <w:top w:val="nil"/>
              <w:left w:val="nil"/>
              <w:bottom w:val="single" w:sz="4" w:space="0" w:color="auto"/>
              <w:right w:val="single" w:sz="4" w:space="0" w:color="auto"/>
            </w:tcBorders>
            <w:shd w:val="clear" w:color="auto" w:fill="auto"/>
            <w:hideMark/>
          </w:tcPr>
          <w:p w14:paraId="31CF9D6B" w14:textId="173E51CA" w:rsidR="001271CC" w:rsidRPr="001045B7" w:rsidRDefault="001271CC" w:rsidP="001271CC">
            <w:pPr>
              <w:jc w:val="right"/>
              <w:rPr>
                <w:rFonts w:asciiTheme="minorHAnsi" w:hAnsiTheme="minorHAnsi" w:cstheme="minorHAnsi"/>
                <w:b/>
                <w:sz w:val="17"/>
                <w:szCs w:val="17"/>
              </w:rPr>
            </w:pPr>
            <w:r w:rsidRPr="001045B7">
              <w:rPr>
                <w:rFonts w:asciiTheme="minorHAnsi" w:hAnsiTheme="minorHAnsi" w:cstheme="minorHAnsi"/>
                <w:sz w:val="17"/>
                <w:szCs w:val="17"/>
              </w:rPr>
              <w:t xml:space="preserve"> 616,427,802 </w:t>
            </w:r>
          </w:p>
        </w:tc>
      </w:tr>
      <w:tr w:rsidR="001271CC" w:rsidRPr="001045B7" w14:paraId="1462D6E5" w14:textId="77777777" w:rsidTr="00001825">
        <w:trPr>
          <w:trHeight w:val="292"/>
        </w:trPr>
        <w:tc>
          <w:tcPr>
            <w:tcW w:w="4857" w:type="dxa"/>
            <w:tcBorders>
              <w:top w:val="nil"/>
              <w:left w:val="single" w:sz="4" w:space="0" w:color="auto"/>
              <w:bottom w:val="single" w:sz="4" w:space="0" w:color="auto"/>
              <w:right w:val="single" w:sz="4" w:space="0" w:color="auto"/>
            </w:tcBorders>
            <w:shd w:val="clear" w:color="000000" w:fill="BFBFBF"/>
            <w:vAlign w:val="center"/>
            <w:hideMark/>
          </w:tcPr>
          <w:p w14:paraId="4193D404" w14:textId="77777777" w:rsidR="001271CC" w:rsidRPr="001045B7" w:rsidRDefault="001271CC" w:rsidP="001271CC">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Gastos y Otras Pérdidas</w:t>
            </w:r>
          </w:p>
        </w:tc>
        <w:tc>
          <w:tcPr>
            <w:tcW w:w="1476" w:type="dxa"/>
            <w:tcBorders>
              <w:top w:val="nil"/>
              <w:left w:val="nil"/>
              <w:bottom w:val="single" w:sz="4" w:space="0" w:color="auto"/>
              <w:right w:val="single" w:sz="4" w:space="0" w:color="auto"/>
            </w:tcBorders>
            <w:shd w:val="clear" w:color="000000" w:fill="BFBFBF"/>
            <w:hideMark/>
          </w:tcPr>
          <w:p w14:paraId="5F39817B" w14:textId="1C5D76FD" w:rsidR="001271CC" w:rsidRPr="001045B7" w:rsidRDefault="00583726"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59,619,573,673</w:t>
            </w:r>
          </w:p>
        </w:tc>
        <w:tc>
          <w:tcPr>
            <w:tcW w:w="1463" w:type="dxa"/>
            <w:tcBorders>
              <w:top w:val="nil"/>
              <w:left w:val="nil"/>
              <w:bottom w:val="single" w:sz="4" w:space="0" w:color="auto"/>
              <w:right w:val="single" w:sz="4" w:space="0" w:color="auto"/>
            </w:tcBorders>
            <w:shd w:val="clear" w:color="000000" w:fill="BFBFBF"/>
            <w:hideMark/>
          </w:tcPr>
          <w:p w14:paraId="3C293855" w14:textId="2B0B0243" w:rsidR="001271CC" w:rsidRPr="001045B7" w:rsidRDefault="001271CC"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52,892,683,334 </w:t>
            </w:r>
          </w:p>
        </w:tc>
      </w:tr>
    </w:tbl>
    <w:p w14:paraId="3EECF5A5" w14:textId="77777777" w:rsidR="007E010C" w:rsidRPr="001045B7" w:rsidRDefault="007E010C" w:rsidP="00FE1780">
      <w:pPr>
        <w:rPr>
          <w:rFonts w:asciiTheme="minorHAnsi" w:hAnsiTheme="minorHAnsi" w:cstheme="minorHAnsi"/>
          <w:sz w:val="17"/>
          <w:szCs w:val="17"/>
        </w:rPr>
      </w:pPr>
    </w:p>
    <w:p w14:paraId="6C876123" w14:textId="77777777" w:rsidR="00A330AF" w:rsidRPr="001045B7" w:rsidRDefault="00A330AF" w:rsidP="00FE1780">
      <w:pPr>
        <w:rPr>
          <w:rFonts w:asciiTheme="minorHAnsi" w:hAnsiTheme="minorHAnsi" w:cstheme="minorHAnsi"/>
          <w:sz w:val="17"/>
          <w:szCs w:val="17"/>
        </w:rPr>
      </w:pPr>
    </w:p>
    <w:p w14:paraId="316EEEBA" w14:textId="11EDD815" w:rsidR="00FE1780" w:rsidRPr="001045B7" w:rsidRDefault="008B10AE" w:rsidP="00FE1780">
      <w:pPr>
        <w:rPr>
          <w:rFonts w:asciiTheme="minorHAnsi" w:hAnsiTheme="minorHAnsi" w:cstheme="minorHAnsi"/>
          <w:sz w:val="17"/>
          <w:szCs w:val="17"/>
        </w:rPr>
      </w:pPr>
      <w:r w:rsidRPr="001045B7">
        <w:rPr>
          <w:rFonts w:asciiTheme="minorHAnsi" w:hAnsiTheme="minorHAnsi" w:cstheme="minorHAnsi"/>
          <w:sz w:val="17"/>
          <w:szCs w:val="17"/>
        </w:rPr>
        <w:t xml:space="preserve">El incremento del </w:t>
      </w:r>
      <w:r w:rsidR="000714CD" w:rsidRPr="001045B7">
        <w:rPr>
          <w:rFonts w:asciiTheme="minorHAnsi" w:hAnsiTheme="minorHAnsi" w:cstheme="minorHAnsi"/>
          <w:sz w:val="17"/>
          <w:szCs w:val="17"/>
        </w:rPr>
        <w:t>19</w:t>
      </w:r>
      <w:r w:rsidR="00FE1780" w:rsidRPr="001045B7">
        <w:rPr>
          <w:rFonts w:asciiTheme="minorHAnsi" w:hAnsiTheme="minorHAnsi" w:cstheme="minorHAnsi"/>
          <w:sz w:val="17"/>
          <w:szCs w:val="17"/>
        </w:rPr>
        <w:t>% (</w:t>
      </w:r>
      <w:r w:rsidR="000714CD" w:rsidRPr="001045B7">
        <w:rPr>
          <w:rFonts w:asciiTheme="minorHAnsi" w:hAnsiTheme="minorHAnsi" w:cstheme="minorHAnsi"/>
          <w:sz w:val="17"/>
          <w:szCs w:val="17"/>
        </w:rPr>
        <w:t>diecinueve</w:t>
      </w:r>
      <w:r w:rsidR="00FE1780" w:rsidRPr="001045B7">
        <w:rPr>
          <w:rFonts w:asciiTheme="minorHAnsi" w:hAnsiTheme="minorHAnsi" w:cstheme="minorHAnsi"/>
          <w:sz w:val="17"/>
          <w:szCs w:val="17"/>
        </w:rPr>
        <w:t xml:space="preserve"> por ciento) en el rubro de Transferencias, Asignaciones, Subsidios y Otras Ayudas, se debe principalmente al aumento de Transferencias Otorgadas a Entidades Paraestatales no Empresariales y no Financieras por</w:t>
      </w:r>
      <w:r w:rsidR="009335EB" w:rsidRPr="001045B7">
        <w:rPr>
          <w:rFonts w:asciiTheme="minorHAnsi" w:hAnsiTheme="minorHAnsi" w:cstheme="minorHAnsi"/>
          <w:sz w:val="17"/>
          <w:szCs w:val="17"/>
        </w:rPr>
        <w:t xml:space="preserve"> 4,652,747,709</w:t>
      </w:r>
      <w:r w:rsidR="000714CD" w:rsidRPr="001045B7">
        <w:rPr>
          <w:rFonts w:asciiTheme="minorHAnsi" w:hAnsiTheme="minorHAnsi" w:cstheme="minorHAnsi"/>
          <w:sz w:val="17"/>
          <w:szCs w:val="17"/>
        </w:rPr>
        <w:t xml:space="preserve"> </w:t>
      </w:r>
      <w:r w:rsidR="00FE1780" w:rsidRPr="001045B7">
        <w:rPr>
          <w:rFonts w:asciiTheme="minorHAnsi" w:hAnsiTheme="minorHAnsi" w:cstheme="minorHAnsi"/>
          <w:sz w:val="17"/>
          <w:szCs w:val="17"/>
        </w:rPr>
        <w:t>(</w:t>
      </w:r>
      <w:r w:rsidR="009335EB" w:rsidRPr="001045B7">
        <w:rPr>
          <w:rFonts w:asciiTheme="minorHAnsi" w:hAnsiTheme="minorHAnsi" w:cstheme="minorHAnsi"/>
          <w:sz w:val="17"/>
          <w:szCs w:val="17"/>
        </w:rPr>
        <w:t>cuatro mil seiscientos cincuenta y dos millones setecientos cuarenta y siete mil setecientos nueve).</w:t>
      </w:r>
    </w:p>
    <w:p w14:paraId="4383D118" w14:textId="77777777" w:rsidR="002517AF" w:rsidRPr="001045B7" w:rsidRDefault="002517AF" w:rsidP="00B47153">
      <w:pPr>
        <w:spacing w:line="276" w:lineRule="auto"/>
        <w:jc w:val="both"/>
        <w:rPr>
          <w:rFonts w:asciiTheme="minorHAnsi" w:hAnsiTheme="minorHAnsi" w:cstheme="minorHAnsi"/>
          <w:sz w:val="17"/>
          <w:szCs w:val="17"/>
        </w:rPr>
      </w:pPr>
    </w:p>
    <w:p w14:paraId="425E4E20" w14:textId="69EB7B01" w:rsidR="0081593C" w:rsidRPr="001045B7" w:rsidRDefault="008B10AE" w:rsidP="00B4715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El incremento del </w:t>
      </w:r>
      <w:r w:rsidR="0042029B" w:rsidRPr="001045B7">
        <w:rPr>
          <w:rFonts w:asciiTheme="minorHAnsi" w:hAnsiTheme="minorHAnsi" w:cstheme="minorHAnsi"/>
          <w:sz w:val="17"/>
          <w:szCs w:val="17"/>
        </w:rPr>
        <w:t>4</w:t>
      </w:r>
      <w:r w:rsidR="00FE1780" w:rsidRPr="001045B7">
        <w:rPr>
          <w:rFonts w:asciiTheme="minorHAnsi" w:hAnsiTheme="minorHAnsi" w:cstheme="minorHAnsi"/>
          <w:sz w:val="17"/>
          <w:szCs w:val="17"/>
        </w:rPr>
        <w:t>% (</w:t>
      </w:r>
      <w:r w:rsidR="0042029B" w:rsidRPr="001045B7">
        <w:rPr>
          <w:rFonts w:asciiTheme="minorHAnsi" w:hAnsiTheme="minorHAnsi" w:cstheme="minorHAnsi"/>
          <w:sz w:val="17"/>
          <w:szCs w:val="17"/>
        </w:rPr>
        <w:t>cuatro</w:t>
      </w:r>
      <w:r w:rsidR="00B47153" w:rsidRPr="001045B7">
        <w:rPr>
          <w:rFonts w:asciiTheme="minorHAnsi" w:hAnsiTheme="minorHAnsi" w:cstheme="minorHAnsi"/>
          <w:sz w:val="17"/>
          <w:szCs w:val="17"/>
        </w:rPr>
        <w:t xml:space="preserve"> por ciento) en el rubro de Participaciones y Aportaciones, obedece principalmente al aumento de</w:t>
      </w:r>
      <w:r w:rsidR="005743AA" w:rsidRPr="001045B7">
        <w:rPr>
          <w:rFonts w:asciiTheme="minorHAnsi" w:hAnsiTheme="minorHAnsi" w:cstheme="minorHAnsi"/>
          <w:sz w:val="17"/>
          <w:szCs w:val="17"/>
        </w:rPr>
        <w:t xml:space="preserve"> Participaciones por 279,191,703 (doscientos setenta y nueve millones ciento noventa y un mil setecientos tres) y Aportaciones por 168,428,089 (ciento sesenta y ocho millones cuatrocientos veintiocho mil ochenta y nueve).</w:t>
      </w:r>
    </w:p>
    <w:p w14:paraId="666E4DD1" w14:textId="77777777" w:rsidR="00373A05" w:rsidRPr="001045B7" w:rsidRDefault="00373A05" w:rsidP="00B47153">
      <w:pPr>
        <w:spacing w:line="276" w:lineRule="auto"/>
        <w:jc w:val="both"/>
        <w:rPr>
          <w:rFonts w:asciiTheme="minorHAnsi" w:hAnsiTheme="minorHAnsi" w:cstheme="minorHAnsi"/>
          <w:sz w:val="17"/>
          <w:szCs w:val="17"/>
        </w:rPr>
      </w:pPr>
    </w:p>
    <w:p w14:paraId="3231CC73" w14:textId="77777777" w:rsidR="007E010C" w:rsidRPr="001045B7" w:rsidRDefault="007E010C" w:rsidP="00B47153">
      <w:pPr>
        <w:spacing w:line="276" w:lineRule="auto"/>
        <w:jc w:val="both"/>
        <w:rPr>
          <w:rFonts w:asciiTheme="minorHAnsi" w:hAnsiTheme="minorHAnsi" w:cstheme="minorHAnsi"/>
          <w:sz w:val="17"/>
          <w:szCs w:val="17"/>
        </w:rPr>
      </w:pPr>
    </w:p>
    <w:p w14:paraId="27A37545" w14:textId="437142BE" w:rsidR="00CB13C9" w:rsidRPr="001045B7" w:rsidRDefault="00B47153" w:rsidP="00B4715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Se explican aquellas cuentas de gastos de funcionamiento, transferencias, subsidios y otras ayudas, participaciones y aportaciones, otros gastos y pérdidas extraordinarias, que en lo individual representen el 1</w:t>
      </w:r>
      <w:r w:rsidR="00152D1C" w:rsidRPr="001045B7">
        <w:rPr>
          <w:rFonts w:asciiTheme="minorHAnsi" w:hAnsiTheme="minorHAnsi" w:cstheme="minorHAnsi"/>
          <w:sz w:val="17"/>
          <w:szCs w:val="17"/>
        </w:rPr>
        <w:t>5</w:t>
      </w:r>
      <w:r w:rsidRPr="001045B7">
        <w:rPr>
          <w:rFonts w:asciiTheme="minorHAnsi" w:hAnsiTheme="minorHAnsi" w:cstheme="minorHAnsi"/>
          <w:sz w:val="17"/>
          <w:szCs w:val="17"/>
        </w:rPr>
        <w:t>% (</w:t>
      </w:r>
      <w:r w:rsidR="00152D1C" w:rsidRPr="001045B7">
        <w:rPr>
          <w:rFonts w:asciiTheme="minorHAnsi" w:hAnsiTheme="minorHAnsi" w:cstheme="minorHAnsi"/>
          <w:sz w:val="17"/>
          <w:szCs w:val="17"/>
        </w:rPr>
        <w:t>quince</w:t>
      </w:r>
      <w:r w:rsidRPr="001045B7">
        <w:rPr>
          <w:rFonts w:asciiTheme="minorHAnsi" w:hAnsiTheme="minorHAnsi" w:cstheme="minorHAnsi"/>
          <w:sz w:val="17"/>
          <w:szCs w:val="17"/>
        </w:rPr>
        <w:t xml:space="preserve"> por ciento) o más del total de los gastos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6B1A5541" w14:textId="77777777" w:rsidR="006C7378" w:rsidRPr="001045B7" w:rsidRDefault="006C7378" w:rsidP="00B47153">
      <w:pPr>
        <w:spacing w:line="276" w:lineRule="auto"/>
        <w:jc w:val="both"/>
        <w:rPr>
          <w:rFonts w:asciiTheme="minorHAnsi" w:hAnsiTheme="minorHAnsi" w:cstheme="minorHAnsi"/>
          <w:sz w:val="17"/>
          <w:szCs w:val="17"/>
        </w:rPr>
      </w:pPr>
    </w:p>
    <w:p w14:paraId="34F10323" w14:textId="77777777" w:rsidR="00B47153" w:rsidRPr="001045B7" w:rsidRDefault="00B47153" w:rsidP="00B47153">
      <w:pPr>
        <w:spacing w:before="80" w:line="250" w:lineRule="exact"/>
        <w:ind w:left="6381"/>
        <w:jc w:val="both"/>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page" w:tblpXSpec="center" w:tblpY="45"/>
        <w:tblW w:w="11483" w:type="dxa"/>
        <w:tblCellMar>
          <w:left w:w="70" w:type="dxa"/>
          <w:right w:w="70" w:type="dxa"/>
        </w:tblCellMar>
        <w:tblLook w:val="04A0" w:firstRow="1" w:lastRow="0" w:firstColumn="1" w:lastColumn="0" w:noHBand="0" w:noVBand="1"/>
      </w:tblPr>
      <w:tblGrid>
        <w:gridCol w:w="6935"/>
        <w:gridCol w:w="1843"/>
        <w:gridCol w:w="2705"/>
      </w:tblGrid>
      <w:tr w:rsidR="00B47153" w:rsidRPr="001045B7" w14:paraId="6B05F64A" w14:textId="77777777" w:rsidTr="001B619A">
        <w:trPr>
          <w:trHeight w:val="338"/>
        </w:trPr>
        <w:tc>
          <w:tcPr>
            <w:tcW w:w="6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395A55" w14:textId="77777777" w:rsidR="00B47153" w:rsidRPr="001045B7" w:rsidRDefault="00B47153" w:rsidP="001B619A">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4B5DFF" w14:textId="77777777" w:rsidR="00B47153" w:rsidRPr="001045B7" w:rsidRDefault="00B47153" w:rsidP="001B619A">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individual</w:t>
            </w:r>
          </w:p>
        </w:tc>
        <w:tc>
          <w:tcPr>
            <w:tcW w:w="27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61E7C9" w14:textId="77777777" w:rsidR="00B47153" w:rsidRPr="001045B7" w:rsidRDefault="00B47153" w:rsidP="001B619A">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Porcentaje del total del gasto</w:t>
            </w:r>
          </w:p>
        </w:tc>
      </w:tr>
      <w:tr w:rsidR="00B47153" w:rsidRPr="001045B7" w14:paraId="3872882D" w14:textId="77777777" w:rsidTr="001B619A">
        <w:trPr>
          <w:trHeight w:val="288"/>
        </w:trPr>
        <w:tc>
          <w:tcPr>
            <w:tcW w:w="6935" w:type="dxa"/>
            <w:tcBorders>
              <w:top w:val="single" w:sz="4" w:space="0" w:color="auto"/>
              <w:left w:val="single" w:sz="4" w:space="0" w:color="auto"/>
              <w:bottom w:val="single" w:sz="4" w:space="0" w:color="auto"/>
              <w:right w:val="single" w:sz="4" w:space="0" w:color="auto"/>
            </w:tcBorders>
            <w:shd w:val="clear" w:color="000000" w:fill="FFFFFF"/>
            <w:vAlign w:val="center"/>
          </w:tcPr>
          <w:p w14:paraId="5EC660DA" w14:textId="77777777" w:rsidR="00B47153" w:rsidRPr="001045B7" w:rsidRDefault="00B47153" w:rsidP="001B619A">
            <w:pPr>
              <w:rPr>
                <w:rFonts w:asciiTheme="minorHAnsi" w:hAnsiTheme="minorHAnsi" w:cstheme="minorHAnsi"/>
                <w:color w:val="000000"/>
                <w:sz w:val="17"/>
                <w:szCs w:val="17"/>
              </w:rPr>
            </w:pPr>
            <w:r w:rsidRPr="001045B7">
              <w:rPr>
                <w:rFonts w:asciiTheme="minorHAnsi" w:hAnsiTheme="minorHAnsi" w:cstheme="minorHAnsi"/>
                <w:color w:val="000000"/>
                <w:sz w:val="17"/>
                <w:szCs w:val="17"/>
              </w:rPr>
              <w:t>Transferencias otorgadas a entidades paraestatales no empresariales y no financieras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7E81A7" w14:textId="1C2F9F48" w:rsidR="00B47153" w:rsidRPr="001045B7" w:rsidRDefault="00460A4C" w:rsidP="001B619A">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29,256,956,425</w:t>
            </w:r>
          </w:p>
        </w:tc>
        <w:tc>
          <w:tcPr>
            <w:tcW w:w="2705" w:type="dxa"/>
            <w:tcBorders>
              <w:top w:val="single" w:sz="4" w:space="0" w:color="auto"/>
              <w:left w:val="nil"/>
              <w:bottom w:val="single" w:sz="4" w:space="0" w:color="auto"/>
              <w:right w:val="single" w:sz="4" w:space="0" w:color="auto"/>
            </w:tcBorders>
            <w:shd w:val="clear" w:color="auto" w:fill="auto"/>
            <w:vAlign w:val="center"/>
          </w:tcPr>
          <w:p w14:paraId="3F40EA8A" w14:textId="5A69D3DE" w:rsidR="00B47153" w:rsidRPr="001045B7" w:rsidRDefault="00B47153" w:rsidP="001B619A">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4</w:t>
            </w:r>
            <w:r w:rsidR="00460A4C" w:rsidRPr="001045B7">
              <w:rPr>
                <w:rFonts w:asciiTheme="minorHAnsi" w:hAnsiTheme="minorHAnsi" w:cstheme="minorHAnsi"/>
                <w:bCs/>
                <w:color w:val="000000"/>
                <w:sz w:val="17"/>
                <w:szCs w:val="17"/>
              </w:rPr>
              <w:t>9</w:t>
            </w:r>
            <w:r w:rsidRPr="001045B7">
              <w:rPr>
                <w:rFonts w:asciiTheme="minorHAnsi" w:hAnsiTheme="minorHAnsi" w:cstheme="minorHAnsi"/>
                <w:bCs/>
                <w:color w:val="000000"/>
                <w:sz w:val="17"/>
                <w:szCs w:val="17"/>
              </w:rPr>
              <w:t>%</w:t>
            </w:r>
          </w:p>
        </w:tc>
      </w:tr>
    </w:tbl>
    <w:p w14:paraId="26F3CC17" w14:textId="5FEF8DA1" w:rsidR="00B47153" w:rsidRPr="001045B7" w:rsidRDefault="00B47153" w:rsidP="00B47153">
      <w:pPr>
        <w:spacing w:line="276" w:lineRule="auto"/>
        <w:jc w:val="both"/>
        <w:rPr>
          <w:rFonts w:asciiTheme="minorHAnsi" w:hAnsiTheme="minorHAnsi" w:cstheme="minorHAnsi"/>
          <w:sz w:val="17"/>
          <w:szCs w:val="17"/>
        </w:rPr>
      </w:pPr>
    </w:p>
    <w:p w14:paraId="0419556C" w14:textId="489DEF64" w:rsidR="00B47153" w:rsidRPr="001045B7" w:rsidRDefault="00B47153" w:rsidP="00B47153">
      <w:pPr>
        <w:spacing w:line="276" w:lineRule="auto"/>
        <w:jc w:val="both"/>
        <w:rPr>
          <w:rFonts w:asciiTheme="minorHAnsi" w:hAnsiTheme="minorHAnsi" w:cstheme="minorHAnsi"/>
          <w:sz w:val="17"/>
          <w:szCs w:val="17"/>
        </w:rPr>
      </w:pPr>
    </w:p>
    <w:p w14:paraId="6DF5ABCA" w14:textId="78111D5C" w:rsidR="00B47153" w:rsidRPr="001045B7" w:rsidRDefault="00B47153" w:rsidP="00B47153">
      <w:pPr>
        <w:spacing w:line="276" w:lineRule="auto"/>
        <w:jc w:val="both"/>
        <w:rPr>
          <w:rFonts w:asciiTheme="minorHAnsi" w:hAnsiTheme="minorHAnsi" w:cstheme="minorHAnsi"/>
          <w:sz w:val="17"/>
          <w:szCs w:val="17"/>
        </w:rPr>
      </w:pPr>
    </w:p>
    <w:p w14:paraId="1C13223D" w14:textId="44F30B20" w:rsidR="00C60AF7" w:rsidRPr="001045B7" w:rsidRDefault="00C60AF7" w:rsidP="00B47153">
      <w:pPr>
        <w:spacing w:line="276" w:lineRule="auto"/>
        <w:jc w:val="both"/>
        <w:rPr>
          <w:rFonts w:asciiTheme="minorHAnsi" w:hAnsiTheme="minorHAnsi" w:cstheme="minorHAnsi"/>
          <w:sz w:val="17"/>
          <w:szCs w:val="17"/>
        </w:rPr>
      </w:pPr>
    </w:p>
    <w:p w14:paraId="0F136CE6" w14:textId="77777777" w:rsidR="004532BD" w:rsidRPr="001045B7" w:rsidRDefault="004532BD" w:rsidP="00B47153">
      <w:pPr>
        <w:spacing w:line="276" w:lineRule="auto"/>
        <w:jc w:val="both"/>
        <w:rPr>
          <w:rFonts w:asciiTheme="minorHAnsi" w:hAnsiTheme="minorHAnsi" w:cstheme="minorHAnsi"/>
          <w:sz w:val="17"/>
          <w:szCs w:val="17"/>
        </w:rPr>
      </w:pPr>
    </w:p>
    <w:p w14:paraId="728BA323" w14:textId="77777777" w:rsidR="00E21869" w:rsidRPr="001045B7" w:rsidRDefault="00E21869" w:rsidP="00B47153">
      <w:pPr>
        <w:spacing w:line="276" w:lineRule="auto"/>
        <w:jc w:val="both"/>
        <w:rPr>
          <w:rFonts w:asciiTheme="minorHAnsi" w:hAnsiTheme="minorHAnsi" w:cstheme="minorHAnsi"/>
          <w:sz w:val="17"/>
          <w:szCs w:val="17"/>
        </w:rPr>
      </w:pPr>
    </w:p>
    <w:p w14:paraId="5FEC2E1E" w14:textId="71FE6A00" w:rsidR="002517AF" w:rsidRPr="001045B7" w:rsidRDefault="00B47153" w:rsidP="00B4715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Dentro del rubro de Transferencias otorgadas a entidades paraestatales no empresariales y no financieras, se encuentran los montos destinados para la ejecución de obras públicas que realizaron diversa Entidades Paraestatales y Municipios </w:t>
      </w:r>
      <w:r w:rsidR="002517AF" w:rsidRPr="001045B7">
        <w:rPr>
          <w:rFonts w:asciiTheme="minorHAnsi" w:hAnsiTheme="minorHAnsi" w:cstheme="minorHAnsi"/>
          <w:sz w:val="17"/>
          <w:szCs w:val="17"/>
        </w:rPr>
        <w:t>como se detalla a continuación:</w:t>
      </w:r>
    </w:p>
    <w:p w14:paraId="48357E9B" w14:textId="4746DCD8" w:rsidR="00E21869" w:rsidRPr="001045B7" w:rsidRDefault="00E21869" w:rsidP="00B47153">
      <w:pPr>
        <w:spacing w:line="276" w:lineRule="auto"/>
        <w:jc w:val="both"/>
        <w:rPr>
          <w:rFonts w:asciiTheme="minorHAnsi" w:hAnsiTheme="minorHAnsi" w:cstheme="minorHAnsi"/>
          <w:sz w:val="17"/>
          <w:szCs w:val="17"/>
        </w:rPr>
      </w:pPr>
    </w:p>
    <w:p w14:paraId="210A75A5" w14:textId="77777777" w:rsidR="00E21869" w:rsidRPr="001045B7" w:rsidRDefault="00E21869" w:rsidP="00B47153">
      <w:pPr>
        <w:spacing w:line="276" w:lineRule="auto"/>
        <w:jc w:val="both"/>
        <w:rPr>
          <w:rFonts w:asciiTheme="minorHAnsi" w:hAnsiTheme="minorHAnsi" w:cstheme="minorHAnsi"/>
          <w:sz w:val="17"/>
          <w:szCs w:val="17"/>
        </w:rPr>
      </w:pPr>
    </w:p>
    <w:p w14:paraId="4044CDCD" w14:textId="77777777" w:rsidR="00B47153" w:rsidRPr="001045B7" w:rsidRDefault="00B47153" w:rsidP="00B47153">
      <w:pPr>
        <w:autoSpaceDE w:val="0"/>
        <w:autoSpaceDN w:val="0"/>
        <w:adjustRightInd w:val="0"/>
        <w:ind w:left="851"/>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margin" w:tblpXSpec="center" w:tblpY="69"/>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410"/>
        <w:gridCol w:w="1984"/>
      </w:tblGrid>
      <w:tr w:rsidR="00B47153" w:rsidRPr="001045B7" w14:paraId="2075DF76" w14:textId="77777777" w:rsidTr="00E21869">
        <w:trPr>
          <w:trHeight w:val="64"/>
        </w:trPr>
        <w:tc>
          <w:tcPr>
            <w:tcW w:w="2547" w:type="dxa"/>
            <w:shd w:val="clear" w:color="auto" w:fill="D9D9D9" w:themeFill="background1" w:themeFillShade="D9"/>
            <w:noWrap/>
            <w:hideMark/>
          </w:tcPr>
          <w:p w14:paraId="1AC22FB1" w14:textId="77777777" w:rsidR="00B47153" w:rsidRPr="001045B7" w:rsidRDefault="00B47153" w:rsidP="00B47153">
            <w:pPr>
              <w:jc w:val="center"/>
              <w:rPr>
                <w:rFonts w:asciiTheme="minorHAnsi" w:hAnsiTheme="minorHAnsi" w:cstheme="minorHAnsi"/>
                <w:b/>
                <w:sz w:val="17"/>
                <w:szCs w:val="17"/>
              </w:rPr>
            </w:pPr>
            <w:r w:rsidRPr="001045B7">
              <w:rPr>
                <w:rFonts w:asciiTheme="minorHAnsi" w:hAnsiTheme="minorHAnsi" w:cstheme="minorHAnsi"/>
                <w:b/>
                <w:sz w:val="17"/>
                <w:szCs w:val="17"/>
              </w:rPr>
              <w:t>Ejecutor</w:t>
            </w:r>
          </w:p>
        </w:tc>
        <w:tc>
          <w:tcPr>
            <w:tcW w:w="2410" w:type="dxa"/>
            <w:shd w:val="clear" w:color="auto" w:fill="D9D9D9" w:themeFill="background1" w:themeFillShade="D9"/>
            <w:noWrap/>
            <w:hideMark/>
          </w:tcPr>
          <w:p w14:paraId="26AC6488" w14:textId="77777777" w:rsidR="00B47153" w:rsidRPr="001045B7" w:rsidRDefault="00B47153" w:rsidP="00B47153">
            <w:pPr>
              <w:jc w:val="center"/>
              <w:rPr>
                <w:rFonts w:asciiTheme="minorHAnsi" w:hAnsiTheme="minorHAnsi" w:cstheme="minorHAnsi"/>
                <w:b/>
                <w:sz w:val="17"/>
                <w:szCs w:val="17"/>
              </w:rPr>
            </w:pPr>
            <w:r w:rsidRPr="001045B7">
              <w:rPr>
                <w:rFonts w:asciiTheme="minorHAnsi" w:hAnsiTheme="minorHAnsi" w:cstheme="minorHAnsi"/>
                <w:b/>
                <w:sz w:val="17"/>
                <w:szCs w:val="17"/>
              </w:rPr>
              <w:t>Autorizado</w:t>
            </w:r>
          </w:p>
        </w:tc>
        <w:tc>
          <w:tcPr>
            <w:tcW w:w="1984" w:type="dxa"/>
            <w:shd w:val="clear" w:color="auto" w:fill="D9D9D9" w:themeFill="background1" w:themeFillShade="D9"/>
            <w:noWrap/>
            <w:hideMark/>
          </w:tcPr>
          <w:p w14:paraId="3E9976F8" w14:textId="77777777" w:rsidR="00B47153" w:rsidRPr="001045B7" w:rsidRDefault="00B47153" w:rsidP="00B47153">
            <w:pPr>
              <w:jc w:val="center"/>
              <w:rPr>
                <w:rFonts w:asciiTheme="minorHAnsi" w:hAnsiTheme="minorHAnsi" w:cstheme="minorHAnsi"/>
                <w:b/>
                <w:sz w:val="17"/>
                <w:szCs w:val="17"/>
              </w:rPr>
            </w:pPr>
            <w:r w:rsidRPr="001045B7">
              <w:rPr>
                <w:rFonts w:asciiTheme="minorHAnsi" w:hAnsiTheme="minorHAnsi" w:cstheme="minorHAnsi"/>
                <w:b/>
                <w:sz w:val="17"/>
                <w:szCs w:val="17"/>
              </w:rPr>
              <w:t>Ejercido</w:t>
            </w:r>
          </w:p>
        </w:tc>
      </w:tr>
      <w:tr w:rsidR="00005D88" w:rsidRPr="001045B7" w14:paraId="655BE0C2" w14:textId="77777777" w:rsidTr="00162820">
        <w:trPr>
          <w:trHeight w:val="70"/>
        </w:trPr>
        <w:tc>
          <w:tcPr>
            <w:tcW w:w="2547" w:type="dxa"/>
            <w:shd w:val="clear" w:color="auto" w:fill="auto"/>
            <w:noWrap/>
            <w:hideMark/>
          </w:tcPr>
          <w:p w14:paraId="74C81443" w14:textId="0D8353B3"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CEA</w:t>
            </w:r>
          </w:p>
        </w:tc>
        <w:tc>
          <w:tcPr>
            <w:tcW w:w="2410" w:type="dxa"/>
            <w:shd w:val="clear" w:color="auto" w:fill="auto"/>
            <w:noWrap/>
            <w:hideMark/>
          </w:tcPr>
          <w:p w14:paraId="3ABE52BD" w14:textId="2EA69E7B"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266,401,66</w:t>
            </w:r>
            <w:r w:rsidR="00C07AF0" w:rsidRPr="001045B7">
              <w:rPr>
                <w:rFonts w:asciiTheme="minorHAnsi" w:hAnsiTheme="minorHAnsi" w:cstheme="minorHAnsi"/>
                <w:sz w:val="17"/>
                <w:szCs w:val="17"/>
              </w:rPr>
              <w:t>2</w:t>
            </w:r>
            <w:r w:rsidRPr="001045B7">
              <w:rPr>
                <w:rFonts w:asciiTheme="minorHAnsi" w:hAnsiTheme="minorHAnsi" w:cstheme="minorHAnsi"/>
                <w:sz w:val="17"/>
                <w:szCs w:val="17"/>
              </w:rPr>
              <w:t xml:space="preserve"> </w:t>
            </w:r>
          </w:p>
        </w:tc>
        <w:tc>
          <w:tcPr>
            <w:tcW w:w="1984" w:type="dxa"/>
            <w:shd w:val="clear" w:color="auto" w:fill="auto"/>
            <w:noWrap/>
            <w:hideMark/>
          </w:tcPr>
          <w:p w14:paraId="3278F500" w14:textId="123327D2"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134,116,60</w:t>
            </w:r>
            <w:r w:rsidR="00C07AF0" w:rsidRPr="001045B7">
              <w:rPr>
                <w:rFonts w:asciiTheme="minorHAnsi" w:hAnsiTheme="minorHAnsi" w:cstheme="minorHAnsi"/>
                <w:sz w:val="17"/>
                <w:szCs w:val="17"/>
              </w:rPr>
              <w:t>8</w:t>
            </w:r>
            <w:r w:rsidRPr="001045B7">
              <w:rPr>
                <w:rFonts w:asciiTheme="minorHAnsi" w:hAnsiTheme="minorHAnsi" w:cstheme="minorHAnsi"/>
                <w:sz w:val="17"/>
                <w:szCs w:val="17"/>
              </w:rPr>
              <w:t xml:space="preserve"> </w:t>
            </w:r>
          </w:p>
        </w:tc>
      </w:tr>
      <w:tr w:rsidR="00005D88" w:rsidRPr="001045B7" w14:paraId="4F60EF60" w14:textId="77777777" w:rsidTr="00162820">
        <w:trPr>
          <w:trHeight w:val="247"/>
        </w:trPr>
        <w:tc>
          <w:tcPr>
            <w:tcW w:w="2547" w:type="dxa"/>
            <w:shd w:val="clear" w:color="auto" w:fill="auto"/>
            <w:noWrap/>
            <w:hideMark/>
          </w:tcPr>
          <w:p w14:paraId="10CA5190" w14:textId="41C15003" w:rsidR="00005D88" w:rsidRPr="001045B7" w:rsidRDefault="00005D88" w:rsidP="00005D88">
            <w:pPr>
              <w:rPr>
                <w:rFonts w:asciiTheme="minorHAnsi" w:hAnsiTheme="minorHAnsi" w:cstheme="minorHAnsi"/>
                <w:sz w:val="17"/>
                <w:szCs w:val="17"/>
              </w:rPr>
            </w:pPr>
            <w:proofErr w:type="spellStart"/>
            <w:r w:rsidRPr="001045B7">
              <w:rPr>
                <w:rFonts w:asciiTheme="minorHAnsi" w:hAnsiTheme="minorHAnsi" w:cstheme="minorHAnsi"/>
                <w:sz w:val="17"/>
                <w:szCs w:val="17"/>
              </w:rPr>
              <w:t>CEIQ</w:t>
            </w:r>
            <w:proofErr w:type="spellEnd"/>
          </w:p>
        </w:tc>
        <w:tc>
          <w:tcPr>
            <w:tcW w:w="2410" w:type="dxa"/>
            <w:shd w:val="clear" w:color="auto" w:fill="auto"/>
            <w:noWrap/>
            <w:hideMark/>
          </w:tcPr>
          <w:p w14:paraId="3CA7C80C" w14:textId="3F24089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1,023,435,93</w:t>
            </w:r>
            <w:r w:rsidR="00C07AF0" w:rsidRPr="001045B7">
              <w:rPr>
                <w:rFonts w:asciiTheme="minorHAnsi" w:hAnsiTheme="minorHAnsi" w:cstheme="minorHAnsi"/>
                <w:sz w:val="17"/>
                <w:szCs w:val="17"/>
              </w:rPr>
              <w:t>8</w:t>
            </w:r>
            <w:r w:rsidRPr="001045B7">
              <w:rPr>
                <w:rFonts w:asciiTheme="minorHAnsi" w:hAnsiTheme="minorHAnsi" w:cstheme="minorHAnsi"/>
                <w:sz w:val="17"/>
                <w:szCs w:val="17"/>
              </w:rPr>
              <w:t xml:space="preserve"> </w:t>
            </w:r>
          </w:p>
        </w:tc>
        <w:tc>
          <w:tcPr>
            <w:tcW w:w="1984" w:type="dxa"/>
            <w:shd w:val="clear" w:color="auto" w:fill="auto"/>
            <w:noWrap/>
            <w:hideMark/>
          </w:tcPr>
          <w:p w14:paraId="0BB239D2" w14:textId="5D84CC5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963,102,04</w:t>
            </w:r>
            <w:r w:rsidR="00C07AF0" w:rsidRPr="001045B7">
              <w:rPr>
                <w:rFonts w:asciiTheme="minorHAnsi" w:hAnsiTheme="minorHAnsi" w:cstheme="minorHAnsi"/>
                <w:sz w:val="17"/>
                <w:szCs w:val="17"/>
              </w:rPr>
              <w:t>9</w:t>
            </w:r>
            <w:r w:rsidRPr="001045B7">
              <w:rPr>
                <w:rFonts w:asciiTheme="minorHAnsi" w:hAnsiTheme="minorHAnsi" w:cstheme="minorHAnsi"/>
                <w:sz w:val="17"/>
                <w:szCs w:val="17"/>
              </w:rPr>
              <w:t xml:space="preserve"> </w:t>
            </w:r>
          </w:p>
        </w:tc>
      </w:tr>
      <w:tr w:rsidR="00005D88" w:rsidRPr="001045B7" w14:paraId="63B5553D" w14:textId="77777777" w:rsidTr="00162820">
        <w:trPr>
          <w:trHeight w:val="70"/>
        </w:trPr>
        <w:tc>
          <w:tcPr>
            <w:tcW w:w="2547" w:type="dxa"/>
            <w:shd w:val="clear" w:color="auto" w:fill="auto"/>
            <w:noWrap/>
            <w:hideMark/>
          </w:tcPr>
          <w:p w14:paraId="787E2353" w14:textId="280851E1" w:rsidR="00005D88" w:rsidRPr="001045B7" w:rsidRDefault="00005D88" w:rsidP="00005D88">
            <w:pPr>
              <w:rPr>
                <w:rFonts w:asciiTheme="minorHAnsi" w:hAnsiTheme="minorHAnsi" w:cstheme="minorHAnsi"/>
                <w:sz w:val="17"/>
                <w:szCs w:val="17"/>
              </w:rPr>
            </w:pPr>
            <w:proofErr w:type="spellStart"/>
            <w:r w:rsidRPr="001045B7">
              <w:rPr>
                <w:rFonts w:asciiTheme="minorHAnsi" w:hAnsiTheme="minorHAnsi" w:cstheme="minorHAnsi"/>
                <w:sz w:val="17"/>
                <w:szCs w:val="17"/>
              </w:rPr>
              <w:t>IIFEQ</w:t>
            </w:r>
            <w:proofErr w:type="spellEnd"/>
          </w:p>
        </w:tc>
        <w:tc>
          <w:tcPr>
            <w:tcW w:w="2410" w:type="dxa"/>
            <w:shd w:val="clear" w:color="auto" w:fill="auto"/>
            <w:noWrap/>
            <w:hideMark/>
          </w:tcPr>
          <w:p w14:paraId="1A1E2EC6" w14:textId="3B1FFE8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196,509,465 </w:t>
            </w:r>
          </w:p>
        </w:tc>
        <w:tc>
          <w:tcPr>
            <w:tcW w:w="1984" w:type="dxa"/>
            <w:shd w:val="clear" w:color="auto" w:fill="auto"/>
            <w:noWrap/>
            <w:hideMark/>
          </w:tcPr>
          <w:p w14:paraId="12F53315" w14:textId="23FFFB7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196,509,465 </w:t>
            </w:r>
          </w:p>
        </w:tc>
      </w:tr>
      <w:tr w:rsidR="00005D88" w:rsidRPr="001045B7" w14:paraId="58D8A53C" w14:textId="77777777" w:rsidTr="00162820">
        <w:trPr>
          <w:trHeight w:val="247"/>
        </w:trPr>
        <w:tc>
          <w:tcPr>
            <w:tcW w:w="2547" w:type="dxa"/>
            <w:shd w:val="clear" w:color="auto" w:fill="auto"/>
            <w:noWrap/>
            <w:hideMark/>
          </w:tcPr>
          <w:p w14:paraId="3E93F03C" w14:textId="4FEA4612"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AMEALCO</w:t>
            </w:r>
          </w:p>
        </w:tc>
        <w:tc>
          <w:tcPr>
            <w:tcW w:w="2410" w:type="dxa"/>
            <w:shd w:val="clear" w:color="auto" w:fill="auto"/>
            <w:noWrap/>
            <w:hideMark/>
          </w:tcPr>
          <w:p w14:paraId="4C73F6ED" w14:textId="4A3BE24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16,140,330 </w:t>
            </w:r>
          </w:p>
        </w:tc>
        <w:tc>
          <w:tcPr>
            <w:tcW w:w="1984" w:type="dxa"/>
            <w:shd w:val="clear" w:color="auto" w:fill="auto"/>
            <w:noWrap/>
            <w:hideMark/>
          </w:tcPr>
          <w:p w14:paraId="17D4C6BB" w14:textId="62DC3CC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14,124,07</w:t>
            </w:r>
            <w:r w:rsidR="00C07AF0" w:rsidRPr="001045B7">
              <w:rPr>
                <w:rFonts w:asciiTheme="minorHAnsi" w:hAnsiTheme="minorHAnsi" w:cstheme="minorHAnsi"/>
                <w:sz w:val="17"/>
                <w:szCs w:val="17"/>
              </w:rPr>
              <w:t>6</w:t>
            </w:r>
            <w:r w:rsidRPr="001045B7">
              <w:rPr>
                <w:rFonts w:asciiTheme="minorHAnsi" w:hAnsiTheme="minorHAnsi" w:cstheme="minorHAnsi"/>
                <w:sz w:val="17"/>
                <w:szCs w:val="17"/>
              </w:rPr>
              <w:t xml:space="preserve"> </w:t>
            </w:r>
          </w:p>
        </w:tc>
      </w:tr>
      <w:tr w:rsidR="00005D88" w:rsidRPr="001045B7" w14:paraId="511D28A4" w14:textId="77777777" w:rsidTr="00162820">
        <w:trPr>
          <w:trHeight w:val="70"/>
        </w:trPr>
        <w:tc>
          <w:tcPr>
            <w:tcW w:w="2547" w:type="dxa"/>
            <w:shd w:val="clear" w:color="auto" w:fill="auto"/>
            <w:noWrap/>
            <w:hideMark/>
          </w:tcPr>
          <w:p w14:paraId="650A83C3" w14:textId="698EF97A"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ARROYO S.</w:t>
            </w:r>
          </w:p>
        </w:tc>
        <w:tc>
          <w:tcPr>
            <w:tcW w:w="2410" w:type="dxa"/>
            <w:shd w:val="clear" w:color="auto" w:fill="auto"/>
            <w:noWrap/>
            <w:hideMark/>
          </w:tcPr>
          <w:p w14:paraId="5F6DBE22" w14:textId="56266284"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4,992,31</w:t>
            </w:r>
            <w:r w:rsidR="00C07AF0" w:rsidRPr="001045B7">
              <w:rPr>
                <w:rFonts w:asciiTheme="minorHAnsi" w:hAnsiTheme="minorHAnsi" w:cstheme="minorHAnsi"/>
                <w:sz w:val="17"/>
                <w:szCs w:val="17"/>
              </w:rPr>
              <w:t>4</w:t>
            </w:r>
            <w:r w:rsidRPr="001045B7">
              <w:rPr>
                <w:rFonts w:asciiTheme="minorHAnsi" w:hAnsiTheme="minorHAnsi" w:cstheme="minorHAnsi"/>
                <w:sz w:val="17"/>
                <w:szCs w:val="17"/>
              </w:rPr>
              <w:t xml:space="preserve"> </w:t>
            </w:r>
          </w:p>
        </w:tc>
        <w:tc>
          <w:tcPr>
            <w:tcW w:w="1984" w:type="dxa"/>
            <w:shd w:val="clear" w:color="auto" w:fill="auto"/>
            <w:noWrap/>
            <w:hideMark/>
          </w:tcPr>
          <w:p w14:paraId="10240694" w14:textId="2B73AC6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4,243,6</w:t>
            </w:r>
            <w:r w:rsidR="00134B75" w:rsidRPr="001045B7">
              <w:rPr>
                <w:rFonts w:asciiTheme="minorHAnsi" w:hAnsiTheme="minorHAnsi" w:cstheme="minorHAnsi"/>
                <w:sz w:val="17"/>
                <w:szCs w:val="17"/>
              </w:rPr>
              <w:t>50</w:t>
            </w:r>
            <w:r w:rsidRPr="001045B7">
              <w:rPr>
                <w:rFonts w:asciiTheme="minorHAnsi" w:hAnsiTheme="minorHAnsi" w:cstheme="minorHAnsi"/>
                <w:sz w:val="17"/>
                <w:szCs w:val="17"/>
              </w:rPr>
              <w:t xml:space="preserve"> </w:t>
            </w:r>
          </w:p>
        </w:tc>
      </w:tr>
      <w:tr w:rsidR="00005D88" w:rsidRPr="001045B7" w14:paraId="27ECE468" w14:textId="77777777" w:rsidTr="00162820">
        <w:trPr>
          <w:trHeight w:val="247"/>
        </w:trPr>
        <w:tc>
          <w:tcPr>
            <w:tcW w:w="2547" w:type="dxa"/>
            <w:shd w:val="clear" w:color="auto" w:fill="auto"/>
            <w:noWrap/>
            <w:hideMark/>
          </w:tcPr>
          <w:p w14:paraId="66AD035A" w14:textId="2D05AE77"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CADEREYTA</w:t>
            </w:r>
          </w:p>
        </w:tc>
        <w:tc>
          <w:tcPr>
            <w:tcW w:w="2410" w:type="dxa"/>
            <w:shd w:val="clear" w:color="auto" w:fill="auto"/>
            <w:noWrap/>
            <w:hideMark/>
          </w:tcPr>
          <w:p w14:paraId="1666837E" w14:textId="234061B9"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44,373,858 </w:t>
            </w:r>
          </w:p>
        </w:tc>
        <w:tc>
          <w:tcPr>
            <w:tcW w:w="1984" w:type="dxa"/>
            <w:shd w:val="clear" w:color="auto" w:fill="auto"/>
            <w:noWrap/>
            <w:hideMark/>
          </w:tcPr>
          <w:p w14:paraId="75CF2C8C" w14:textId="392CE630"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44,373,858 </w:t>
            </w:r>
          </w:p>
        </w:tc>
      </w:tr>
      <w:tr w:rsidR="00005D88" w:rsidRPr="001045B7" w14:paraId="0E58984A" w14:textId="77777777" w:rsidTr="00162820">
        <w:trPr>
          <w:trHeight w:val="247"/>
        </w:trPr>
        <w:tc>
          <w:tcPr>
            <w:tcW w:w="2547" w:type="dxa"/>
            <w:shd w:val="clear" w:color="auto" w:fill="auto"/>
            <w:noWrap/>
            <w:hideMark/>
          </w:tcPr>
          <w:p w14:paraId="460332D6" w14:textId="4E02C958"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COLON</w:t>
            </w:r>
          </w:p>
        </w:tc>
        <w:tc>
          <w:tcPr>
            <w:tcW w:w="2410" w:type="dxa"/>
            <w:shd w:val="clear" w:color="auto" w:fill="auto"/>
            <w:noWrap/>
            <w:hideMark/>
          </w:tcPr>
          <w:p w14:paraId="03C21968" w14:textId="300390D5"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17,657,17</w:t>
            </w:r>
            <w:r w:rsidR="00C07AF0" w:rsidRPr="001045B7">
              <w:rPr>
                <w:rFonts w:asciiTheme="minorHAnsi" w:hAnsiTheme="minorHAnsi" w:cstheme="minorHAnsi"/>
                <w:sz w:val="17"/>
                <w:szCs w:val="17"/>
              </w:rPr>
              <w:t>8</w:t>
            </w:r>
            <w:r w:rsidRPr="001045B7">
              <w:rPr>
                <w:rFonts w:asciiTheme="minorHAnsi" w:hAnsiTheme="minorHAnsi" w:cstheme="minorHAnsi"/>
                <w:sz w:val="17"/>
                <w:szCs w:val="17"/>
              </w:rPr>
              <w:t xml:space="preserve"> </w:t>
            </w:r>
          </w:p>
        </w:tc>
        <w:tc>
          <w:tcPr>
            <w:tcW w:w="1984" w:type="dxa"/>
            <w:shd w:val="clear" w:color="auto" w:fill="auto"/>
            <w:noWrap/>
            <w:hideMark/>
          </w:tcPr>
          <w:p w14:paraId="48556034" w14:textId="63B519EE"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17,657,17</w:t>
            </w:r>
            <w:r w:rsidR="00134B75" w:rsidRPr="001045B7">
              <w:rPr>
                <w:rFonts w:asciiTheme="minorHAnsi" w:hAnsiTheme="minorHAnsi" w:cstheme="minorHAnsi"/>
                <w:sz w:val="17"/>
                <w:szCs w:val="17"/>
              </w:rPr>
              <w:t>8</w:t>
            </w:r>
            <w:r w:rsidRPr="001045B7">
              <w:rPr>
                <w:rFonts w:asciiTheme="minorHAnsi" w:hAnsiTheme="minorHAnsi" w:cstheme="minorHAnsi"/>
                <w:sz w:val="17"/>
                <w:szCs w:val="17"/>
              </w:rPr>
              <w:t xml:space="preserve"> </w:t>
            </w:r>
          </w:p>
        </w:tc>
      </w:tr>
      <w:tr w:rsidR="00005D88" w:rsidRPr="001045B7" w14:paraId="32E13B6B" w14:textId="77777777" w:rsidTr="00162820">
        <w:trPr>
          <w:trHeight w:val="247"/>
        </w:trPr>
        <w:tc>
          <w:tcPr>
            <w:tcW w:w="2547" w:type="dxa"/>
            <w:shd w:val="clear" w:color="auto" w:fill="auto"/>
            <w:noWrap/>
            <w:hideMark/>
          </w:tcPr>
          <w:p w14:paraId="77D709D9" w14:textId="5BF3250F"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CORREGIDORA</w:t>
            </w:r>
          </w:p>
        </w:tc>
        <w:tc>
          <w:tcPr>
            <w:tcW w:w="2410" w:type="dxa"/>
            <w:shd w:val="clear" w:color="auto" w:fill="auto"/>
            <w:noWrap/>
            <w:hideMark/>
          </w:tcPr>
          <w:p w14:paraId="0FA1C82A" w14:textId="6D6FAC6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41,872,93</w:t>
            </w:r>
            <w:r w:rsidR="00C07AF0" w:rsidRPr="001045B7">
              <w:rPr>
                <w:rFonts w:asciiTheme="minorHAnsi" w:hAnsiTheme="minorHAnsi" w:cstheme="minorHAnsi"/>
                <w:sz w:val="17"/>
                <w:szCs w:val="17"/>
              </w:rPr>
              <w:t>7</w:t>
            </w:r>
            <w:r w:rsidRPr="001045B7">
              <w:rPr>
                <w:rFonts w:asciiTheme="minorHAnsi" w:hAnsiTheme="minorHAnsi" w:cstheme="minorHAnsi"/>
                <w:sz w:val="17"/>
                <w:szCs w:val="17"/>
              </w:rPr>
              <w:t xml:space="preserve"> </w:t>
            </w:r>
          </w:p>
        </w:tc>
        <w:tc>
          <w:tcPr>
            <w:tcW w:w="1984" w:type="dxa"/>
            <w:shd w:val="clear" w:color="auto" w:fill="auto"/>
            <w:noWrap/>
            <w:hideMark/>
          </w:tcPr>
          <w:p w14:paraId="4C88B053" w14:textId="3D9B4DB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20,988,438 </w:t>
            </w:r>
          </w:p>
        </w:tc>
      </w:tr>
      <w:tr w:rsidR="00005D88" w:rsidRPr="001045B7" w14:paraId="5539D526" w14:textId="77777777" w:rsidTr="00162820">
        <w:trPr>
          <w:trHeight w:val="247"/>
        </w:trPr>
        <w:tc>
          <w:tcPr>
            <w:tcW w:w="2547" w:type="dxa"/>
            <w:shd w:val="clear" w:color="auto" w:fill="auto"/>
            <w:noWrap/>
            <w:hideMark/>
          </w:tcPr>
          <w:p w14:paraId="05B1347E" w14:textId="19E1A677"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E. MONTES</w:t>
            </w:r>
          </w:p>
        </w:tc>
        <w:tc>
          <w:tcPr>
            <w:tcW w:w="2410" w:type="dxa"/>
            <w:shd w:val="clear" w:color="auto" w:fill="auto"/>
            <w:noWrap/>
            <w:hideMark/>
          </w:tcPr>
          <w:p w14:paraId="7A377739" w14:textId="0104A40F"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25,278,20</w:t>
            </w:r>
            <w:r w:rsidR="00C07AF0" w:rsidRPr="001045B7">
              <w:rPr>
                <w:rFonts w:asciiTheme="minorHAnsi" w:hAnsiTheme="minorHAnsi" w:cstheme="minorHAnsi"/>
                <w:sz w:val="17"/>
                <w:szCs w:val="17"/>
              </w:rPr>
              <w:t>4</w:t>
            </w:r>
            <w:r w:rsidRPr="001045B7">
              <w:rPr>
                <w:rFonts w:asciiTheme="minorHAnsi" w:hAnsiTheme="minorHAnsi" w:cstheme="minorHAnsi"/>
                <w:sz w:val="17"/>
                <w:szCs w:val="17"/>
              </w:rPr>
              <w:t xml:space="preserve"> </w:t>
            </w:r>
          </w:p>
        </w:tc>
        <w:tc>
          <w:tcPr>
            <w:tcW w:w="1984" w:type="dxa"/>
            <w:shd w:val="clear" w:color="auto" w:fill="auto"/>
            <w:noWrap/>
            <w:hideMark/>
          </w:tcPr>
          <w:p w14:paraId="3CE5C16A" w14:textId="78EDBA7F"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25,278,20</w:t>
            </w:r>
            <w:r w:rsidR="00134B75" w:rsidRPr="001045B7">
              <w:rPr>
                <w:rFonts w:asciiTheme="minorHAnsi" w:hAnsiTheme="minorHAnsi" w:cstheme="minorHAnsi"/>
                <w:sz w:val="17"/>
                <w:szCs w:val="17"/>
              </w:rPr>
              <w:t>4</w:t>
            </w:r>
            <w:r w:rsidRPr="001045B7">
              <w:rPr>
                <w:rFonts w:asciiTheme="minorHAnsi" w:hAnsiTheme="minorHAnsi" w:cstheme="minorHAnsi"/>
                <w:sz w:val="17"/>
                <w:szCs w:val="17"/>
              </w:rPr>
              <w:t xml:space="preserve"> </w:t>
            </w:r>
          </w:p>
        </w:tc>
      </w:tr>
      <w:tr w:rsidR="00005D88" w:rsidRPr="001045B7" w14:paraId="377272B2" w14:textId="77777777" w:rsidTr="00162820">
        <w:trPr>
          <w:trHeight w:val="247"/>
        </w:trPr>
        <w:tc>
          <w:tcPr>
            <w:tcW w:w="2547" w:type="dxa"/>
            <w:shd w:val="clear" w:color="auto" w:fill="auto"/>
            <w:noWrap/>
            <w:hideMark/>
          </w:tcPr>
          <w:p w14:paraId="26B3043F" w14:textId="00BBD9EF"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 xml:space="preserve">M. EL </w:t>
            </w:r>
            <w:proofErr w:type="spellStart"/>
            <w:r w:rsidRPr="001045B7">
              <w:rPr>
                <w:rFonts w:asciiTheme="minorHAnsi" w:hAnsiTheme="minorHAnsi" w:cstheme="minorHAnsi"/>
                <w:sz w:val="17"/>
                <w:szCs w:val="17"/>
              </w:rPr>
              <w:t>MARQ</w:t>
            </w:r>
            <w:proofErr w:type="spellEnd"/>
            <w:r w:rsidRPr="001045B7">
              <w:rPr>
                <w:rFonts w:asciiTheme="minorHAnsi" w:hAnsiTheme="minorHAnsi" w:cstheme="minorHAnsi"/>
                <w:sz w:val="17"/>
                <w:szCs w:val="17"/>
              </w:rPr>
              <w:t>.</w:t>
            </w:r>
          </w:p>
        </w:tc>
        <w:tc>
          <w:tcPr>
            <w:tcW w:w="2410" w:type="dxa"/>
            <w:shd w:val="clear" w:color="auto" w:fill="auto"/>
            <w:noWrap/>
            <w:hideMark/>
          </w:tcPr>
          <w:p w14:paraId="3CB6BEE0" w14:textId="2D68394E"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4,987,955 </w:t>
            </w:r>
          </w:p>
        </w:tc>
        <w:tc>
          <w:tcPr>
            <w:tcW w:w="1984" w:type="dxa"/>
            <w:shd w:val="clear" w:color="auto" w:fill="auto"/>
            <w:noWrap/>
            <w:hideMark/>
          </w:tcPr>
          <w:p w14:paraId="49C576FC" w14:textId="5545BD31"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4,987,955 </w:t>
            </w:r>
          </w:p>
        </w:tc>
      </w:tr>
      <w:tr w:rsidR="00005D88" w:rsidRPr="001045B7" w14:paraId="596E48B8" w14:textId="77777777" w:rsidTr="00162820">
        <w:trPr>
          <w:trHeight w:val="247"/>
        </w:trPr>
        <w:tc>
          <w:tcPr>
            <w:tcW w:w="2547" w:type="dxa"/>
            <w:shd w:val="clear" w:color="auto" w:fill="auto"/>
            <w:noWrap/>
            <w:hideMark/>
          </w:tcPr>
          <w:p w14:paraId="3CA6E5A4" w14:textId="41A449DD"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HUIMILPAN</w:t>
            </w:r>
          </w:p>
        </w:tc>
        <w:tc>
          <w:tcPr>
            <w:tcW w:w="2410" w:type="dxa"/>
            <w:shd w:val="clear" w:color="auto" w:fill="auto"/>
            <w:noWrap/>
            <w:hideMark/>
          </w:tcPr>
          <w:p w14:paraId="69C48949" w14:textId="3DE196D3"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16,797,39</w:t>
            </w:r>
            <w:r w:rsidR="00C07AF0" w:rsidRPr="001045B7">
              <w:rPr>
                <w:rFonts w:asciiTheme="minorHAnsi" w:hAnsiTheme="minorHAnsi" w:cstheme="minorHAnsi"/>
                <w:sz w:val="17"/>
                <w:szCs w:val="17"/>
              </w:rPr>
              <w:t>4</w:t>
            </w:r>
            <w:r w:rsidRPr="001045B7">
              <w:rPr>
                <w:rFonts w:asciiTheme="minorHAnsi" w:hAnsiTheme="minorHAnsi" w:cstheme="minorHAnsi"/>
                <w:sz w:val="17"/>
                <w:szCs w:val="17"/>
              </w:rPr>
              <w:t xml:space="preserve"> </w:t>
            </w:r>
          </w:p>
        </w:tc>
        <w:tc>
          <w:tcPr>
            <w:tcW w:w="1984" w:type="dxa"/>
            <w:shd w:val="clear" w:color="auto" w:fill="auto"/>
            <w:noWrap/>
            <w:hideMark/>
          </w:tcPr>
          <w:p w14:paraId="33D3A504" w14:textId="0FA0759E"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6,384,631 </w:t>
            </w:r>
          </w:p>
        </w:tc>
      </w:tr>
      <w:tr w:rsidR="00005D88" w:rsidRPr="001045B7" w14:paraId="3D7BA502" w14:textId="77777777" w:rsidTr="00162820">
        <w:trPr>
          <w:trHeight w:val="247"/>
        </w:trPr>
        <w:tc>
          <w:tcPr>
            <w:tcW w:w="2547" w:type="dxa"/>
            <w:shd w:val="clear" w:color="auto" w:fill="auto"/>
            <w:noWrap/>
            <w:hideMark/>
          </w:tcPr>
          <w:p w14:paraId="76E89282" w14:textId="56B28B49"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JALPAN</w:t>
            </w:r>
          </w:p>
        </w:tc>
        <w:tc>
          <w:tcPr>
            <w:tcW w:w="2410" w:type="dxa"/>
            <w:shd w:val="clear" w:color="auto" w:fill="auto"/>
            <w:noWrap/>
            <w:hideMark/>
          </w:tcPr>
          <w:p w14:paraId="534972FF" w14:textId="5FD2BFE8"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12,573,237 </w:t>
            </w:r>
          </w:p>
        </w:tc>
        <w:tc>
          <w:tcPr>
            <w:tcW w:w="1984" w:type="dxa"/>
            <w:shd w:val="clear" w:color="auto" w:fill="auto"/>
            <w:noWrap/>
            <w:hideMark/>
          </w:tcPr>
          <w:p w14:paraId="43CD7E86" w14:textId="6832916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12,573,237 </w:t>
            </w:r>
          </w:p>
        </w:tc>
      </w:tr>
      <w:tr w:rsidR="00005D88" w:rsidRPr="001045B7" w14:paraId="07060CE7" w14:textId="77777777" w:rsidTr="00162820">
        <w:trPr>
          <w:trHeight w:val="247"/>
        </w:trPr>
        <w:tc>
          <w:tcPr>
            <w:tcW w:w="2547" w:type="dxa"/>
            <w:shd w:val="clear" w:color="auto" w:fill="auto"/>
            <w:noWrap/>
            <w:hideMark/>
          </w:tcPr>
          <w:p w14:paraId="4B761EC2" w14:textId="1A965952"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LANDA</w:t>
            </w:r>
          </w:p>
        </w:tc>
        <w:tc>
          <w:tcPr>
            <w:tcW w:w="2410" w:type="dxa"/>
            <w:shd w:val="clear" w:color="auto" w:fill="auto"/>
            <w:noWrap/>
            <w:hideMark/>
          </w:tcPr>
          <w:p w14:paraId="0D86DAF0" w14:textId="5907F8B9"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14,784,837 </w:t>
            </w:r>
          </w:p>
        </w:tc>
        <w:tc>
          <w:tcPr>
            <w:tcW w:w="1984" w:type="dxa"/>
            <w:shd w:val="clear" w:color="auto" w:fill="auto"/>
            <w:noWrap/>
            <w:hideMark/>
          </w:tcPr>
          <w:p w14:paraId="0989D03B" w14:textId="423AE639"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14,784,837 </w:t>
            </w:r>
          </w:p>
        </w:tc>
      </w:tr>
      <w:tr w:rsidR="00005D88" w:rsidRPr="001045B7" w14:paraId="2346B3FF" w14:textId="77777777" w:rsidTr="00162820">
        <w:trPr>
          <w:trHeight w:val="247"/>
        </w:trPr>
        <w:tc>
          <w:tcPr>
            <w:tcW w:w="2547" w:type="dxa"/>
            <w:shd w:val="clear" w:color="auto" w:fill="auto"/>
            <w:noWrap/>
            <w:hideMark/>
          </w:tcPr>
          <w:p w14:paraId="0E29A681" w14:textId="14ED648D"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P. ESCOBEDO</w:t>
            </w:r>
          </w:p>
        </w:tc>
        <w:tc>
          <w:tcPr>
            <w:tcW w:w="2410" w:type="dxa"/>
            <w:shd w:val="clear" w:color="auto" w:fill="auto"/>
            <w:noWrap/>
            <w:hideMark/>
          </w:tcPr>
          <w:p w14:paraId="6EE55942" w14:textId="03E14DC0"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39,881,520 </w:t>
            </w:r>
          </w:p>
        </w:tc>
        <w:tc>
          <w:tcPr>
            <w:tcW w:w="1984" w:type="dxa"/>
            <w:shd w:val="clear" w:color="auto" w:fill="auto"/>
            <w:noWrap/>
            <w:hideMark/>
          </w:tcPr>
          <w:p w14:paraId="6F9E343B" w14:textId="4E963DFA"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39,881,520 </w:t>
            </w:r>
          </w:p>
        </w:tc>
      </w:tr>
      <w:tr w:rsidR="00005D88" w:rsidRPr="001045B7" w14:paraId="4FA89469" w14:textId="77777777" w:rsidTr="00162820">
        <w:trPr>
          <w:trHeight w:val="247"/>
        </w:trPr>
        <w:tc>
          <w:tcPr>
            <w:tcW w:w="2547" w:type="dxa"/>
            <w:shd w:val="clear" w:color="auto" w:fill="auto"/>
            <w:noWrap/>
            <w:hideMark/>
          </w:tcPr>
          <w:p w14:paraId="6A73FB27" w14:textId="72372CD1"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PEÑAMILLER</w:t>
            </w:r>
          </w:p>
        </w:tc>
        <w:tc>
          <w:tcPr>
            <w:tcW w:w="2410" w:type="dxa"/>
            <w:shd w:val="clear" w:color="auto" w:fill="auto"/>
            <w:noWrap/>
            <w:hideMark/>
          </w:tcPr>
          <w:p w14:paraId="7E76E5E0" w14:textId="2E4DEECD"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12,968,59</w:t>
            </w:r>
            <w:r w:rsidR="00C07AF0" w:rsidRPr="001045B7">
              <w:rPr>
                <w:rFonts w:asciiTheme="minorHAnsi" w:hAnsiTheme="minorHAnsi" w:cstheme="minorHAnsi"/>
                <w:sz w:val="17"/>
                <w:szCs w:val="17"/>
              </w:rPr>
              <w:t>9</w:t>
            </w:r>
            <w:r w:rsidRPr="001045B7">
              <w:rPr>
                <w:rFonts w:asciiTheme="minorHAnsi" w:hAnsiTheme="minorHAnsi" w:cstheme="minorHAnsi"/>
                <w:sz w:val="17"/>
                <w:szCs w:val="17"/>
              </w:rPr>
              <w:t xml:space="preserve"> </w:t>
            </w:r>
          </w:p>
        </w:tc>
        <w:tc>
          <w:tcPr>
            <w:tcW w:w="1984" w:type="dxa"/>
            <w:shd w:val="clear" w:color="auto" w:fill="auto"/>
            <w:noWrap/>
            <w:hideMark/>
          </w:tcPr>
          <w:p w14:paraId="325DB2FE" w14:textId="19467038"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12,968,59</w:t>
            </w:r>
            <w:r w:rsidR="00134B75" w:rsidRPr="001045B7">
              <w:rPr>
                <w:rFonts w:asciiTheme="minorHAnsi" w:hAnsiTheme="minorHAnsi" w:cstheme="minorHAnsi"/>
                <w:sz w:val="17"/>
                <w:szCs w:val="17"/>
              </w:rPr>
              <w:t>9</w:t>
            </w:r>
            <w:r w:rsidRPr="001045B7">
              <w:rPr>
                <w:rFonts w:asciiTheme="minorHAnsi" w:hAnsiTheme="minorHAnsi" w:cstheme="minorHAnsi"/>
                <w:sz w:val="17"/>
                <w:szCs w:val="17"/>
              </w:rPr>
              <w:t xml:space="preserve"> </w:t>
            </w:r>
          </w:p>
        </w:tc>
      </w:tr>
      <w:tr w:rsidR="00005D88" w:rsidRPr="001045B7" w14:paraId="613042D9" w14:textId="77777777" w:rsidTr="00162820">
        <w:trPr>
          <w:trHeight w:val="247"/>
        </w:trPr>
        <w:tc>
          <w:tcPr>
            <w:tcW w:w="2547" w:type="dxa"/>
            <w:shd w:val="clear" w:color="auto" w:fill="auto"/>
            <w:noWrap/>
            <w:hideMark/>
          </w:tcPr>
          <w:p w14:paraId="11526DB1" w14:textId="49BF4596"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PINAL</w:t>
            </w:r>
          </w:p>
        </w:tc>
        <w:tc>
          <w:tcPr>
            <w:tcW w:w="2410" w:type="dxa"/>
            <w:shd w:val="clear" w:color="auto" w:fill="auto"/>
            <w:noWrap/>
            <w:hideMark/>
          </w:tcPr>
          <w:p w14:paraId="2246E835" w14:textId="4AD62AC4"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16,026,223 </w:t>
            </w:r>
          </w:p>
        </w:tc>
        <w:tc>
          <w:tcPr>
            <w:tcW w:w="1984" w:type="dxa"/>
            <w:shd w:val="clear" w:color="auto" w:fill="auto"/>
            <w:noWrap/>
            <w:hideMark/>
          </w:tcPr>
          <w:p w14:paraId="154708FB" w14:textId="10841C78"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16,026,223 </w:t>
            </w:r>
          </w:p>
        </w:tc>
      </w:tr>
      <w:tr w:rsidR="00005D88" w:rsidRPr="001045B7" w14:paraId="2690F9DB" w14:textId="77777777" w:rsidTr="00162820">
        <w:trPr>
          <w:trHeight w:val="247"/>
        </w:trPr>
        <w:tc>
          <w:tcPr>
            <w:tcW w:w="2547" w:type="dxa"/>
            <w:shd w:val="clear" w:color="auto" w:fill="auto"/>
            <w:noWrap/>
            <w:hideMark/>
          </w:tcPr>
          <w:p w14:paraId="13816B7B" w14:textId="436AC80B"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S</w:t>
            </w:r>
            <w:r w:rsidR="009307AE" w:rsidRPr="001045B7">
              <w:rPr>
                <w:rFonts w:asciiTheme="minorHAnsi" w:hAnsiTheme="minorHAnsi" w:cstheme="minorHAnsi"/>
                <w:sz w:val="17"/>
                <w:szCs w:val="17"/>
              </w:rPr>
              <w:t>AN JUAN DEL RIO</w:t>
            </w:r>
          </w:p>
        </w:tc>
        <w:tc>
          <w:tcPr>
            <w:tcW w:w="2410" w:type="dxa"/>
            <w:shd w:val="clear" w:color="auto" w:fill="auto"/>
            <w:noWrap/>
            <w:hideMark/>
          </w:tcPr>
          <w:p w14:paraId="67050FB2" w14:textId="561E6DEE"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14,143,488 </w:t>
            </w:r>
          </w:p>
        </w:tc>
        <w:tc>
          <w:tcPr>
            <w:tcW w:w="1984" w:type="dxa"/>
            <w:shd w:val="clear" w:color="auto" w:fill="auto"/>
            <w:noWrap/>
            <w:hideMark/>
          </w:tcPr>
          <w:p w14:paraId="4837FA7A" w14:textId="530FEF42"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14,143,488 </w:t>
            </w:r>
          </w:p>
        </w:tc>
      </w:tr>
      <w:tr w:rsidR="00005D88" w:rsidRPr="001045B7" w14:paraId="58481337" w14:textId="77777777" w:rsidTr="00162820">
        <w:trPr>
          <w:trHeight w:val="247"/>
        </w:trPr>
        <w:tc>
          <w:tcPr>
            <w:tcW w:w="2547" w:type="dxa"/>
            <w:shd w:val="clear" w:color="auto" w:fill="auto"/>
            <w:noWrap/>
            <w:hideMark/>
          </w:tcPr>
          <w:p w14:paraId="22CE10BD" w14:textId="333F2615"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 xml:space="preserve">M. SAN </w:t>
            </w:r>
            <w:r w:rsidR="009307AE" w:rsidRPr="001045B7">
              <w:rPr>
                <w:rFonts w:asciiTheme="minorHAnsi" w:hAnsiTheme="minorHAnsi" w:cstheme="minorHAnsi"/>
                <w:sz w:val="17"/>
                <w:szCs w:val="17"/>
              </w:rPr>
              <w:t>JOAQUÍN</w:t>
            </w:r>
          </w:p>
        </w:tc>
        <w:tc>
          <w:tcPr>
            <w:tcW w:w="2410" w:type="dxa"/>
            <w:shd w:val="clear" w:color="auto" w:fill="auto"/>
            <w:noWrap/>
            <w:hideMark/>
          </w:tcPr>
          <w:p w14:paraId="5664F5C1" w14:textId="2EEAA73B"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9,999,79</w:t>
            </w:r>
            <w:r w:rsidR="00C07AF0" w:rsidRPr="001045B7">
              <w:rPr>
                <w:rFonts w:asciiTheme="minorHAnsi" w:hAnsiTheme="minorHAnsi" w:cstheme="minorHAnsi"/>
                <w:sz w:val="17"/>
                <w:szCs w:val="17"/>
              </w:rPr>
              <w:t>1</w:t>
            </w:r>
            <w:r w:rsidRPr="001045B7">
              <w:rPr>
                <w:rFonts w:asciiTheme="minorHAnsi" w:hAnsiTheme="minorHAnsi" w:cstheme="minorHAnsi"/>
                <w:sz w:val="17"/>
                <w:szCs w:val="17"/>
              </w:rPr>
              <w:t xml:space="preserve"> </w:t>
            </w:r>
          </w:p>
        </w:tc>
        <w:tc>
          <w:tcPr>
            <w:tcW w:w="1984" w:type="dxa"/>
            <w:shd w:val="clear" w:color="auto" w:fill="auto"/>
            <w:noWrap/>
            <w:hideMark/>
          </w:tcPr>
          <w:p w14:paraId="7A34D7CF" w14:textId="0216BDB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9,999,79</w:t>
            </w:r>
            <w:r w:rsidR="00134B75" w:rsidRPr="001045B7">
              <w:rPr>
                <w:rFonts w:asciiTheme="minorHAnsi" w:hAnsiTheme="minorHAnsi" w:cstheme="minorHAnsi"/>
                <w:sz w:val="17"/>
                <w:szCs w:val="17"/>
              </w:rPr>
              <w:t>1</w:t>
            </w:r>
            <w:r w:rsidRPr="001045B7">
              <w:rPr>
                <w:rFonts w:asciiTheme="minorHAnsi" w:hAnsiTheme="minorHAnsi" w:cstheme="minorHAnsi"/>
                <w:sz w:val="17"/>
                <w:szCs w:val="17"/>
              </w:rPr>
              <w:t xml:space="preserve"> </w:t>
            </w:r>
          </w:p>
        </w:tc>
      </w:tr>
      <w:tr w:rsidR="00005D88" w:rsidRPr="001045B7" w14:paraId="1558730D" w14:textId="77777777" w:rsidTr="00162820">
        <w:trPr>
          <w:trHeight w:val="247"/>
        </w:trPr>
        <w:tc>
          <w:tcPr>
            <w:tcW w:w="2547" w:type="dxa"/>
            <w:shd w:val="clear" w:color="auto" w:fill="auto"/>
            <w:noWrap/>
            <w:hideMark/>
          </w:tcPr>
          <w:p w14:paraId="6015F7ED" w14:textId="29C80EDB"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M. TEQUIS</w:t>
            </w:r>
            <w:r w:rsidR="009307AE" w:rsidRPr="001045B7">
              <w:rPr>
                <w:rFonts w:asciiTheme="minorHAnsi" w:hAnsiTheme="minorHAnsi" w:cstheme="minorHAnsi"/>
                <w:sz w:val="17"/>
                <w:szCs w:val="17"/>
              </w:rPr>
              <w:t>QUIAPAN</w:t>
            </w:r>
          </w:p>
        </w:tc>
        <w:tc>
          <w:tcPr>
            <w:tcW w:w="2410" w:type="dxa"/>
            <w:shd w:val="clear" w:color="auto" w:fill="auto"/>
            <w:noWrap/>
            <w:hideMark/>
          </w:tcPr>
          <w:p w14:paraId="45D51BDC" w14:textId="0DA26DF4"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159,797,482 </w:t>
            </w:r>
          </w:p>
        </w:tc>
        <w:tc>
          <w:tcPr>
            <w:tcW w:w="1984" w:type="dxa"/>
            <w:shd w:val="clear" w:color="auto" w:fill="auto"/>
            <w:noWrap/>
            <w:hideMark/>
          </w:tcPr>
          <w:p w14:paraId="1B9A9BD1" w14:textId="148F22B7"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159,797,482 </w:t>
            </w:r>
          </w:p>
        </w:tc>
      </w:tr>
      <w:tr w:rsidR="00005D88" w:rsidRPr="001045B7" w14:paraId="16C47D87" w14:textId="77777777" w:rsidTr="00162820">
        <w:trPr>
          <w:trHeight w:val="247"/>
        </w:trPr>
        <w:tc>
          <w:tcPr>
            <w:tcW w:w="2547" w:type="dxa"/>
            <w:shd w:val="clear" w:color="auto" w:fill="auto"/>
            <w:noWrap/>
            <w:hideMark/>
          </w:tcPr>
          <w:p w14:paraId="7D427031" w14:textId="77042887" w:rsidR="00005D88" w:rsidRPr="001045B7" w:rsidRDefault="00005D88" w:rsidP="00005D88">
            <w:pPr>
              <w:rPr>
                <w:rFonts w:asciiTheme="minorHAnsi" w:hAnsiTheme="minorHAnsi" w:cstheme="minorHAnsi"/>
                <w:sz w:val="17"/>
                <w:szCs w:val="17"/>
              </w:rPr>
            </w:pPr>
            <w:r w:rsidRPr="001045B7">
              <w:rPr>
                <w:rFonts w:asciiTheme="minorHAnsi" w:hAnsiTheme="minorHAnsi" w:cstheme="minorHAnsi"/>
                <w:sz w:val="17"/>
                <w:szCs w:val="17"/>
              </w:rPr>
              <w:t xml:space="preserve">M. </w:t>
            </w:r>
            <w:r w:rsidR="009307AE" w:rsidRPr="001045B7">
              <w:rPr>
                <w:rFonts w:asciiTheme="minorHAnsi" w:hAnsiTheme="minorHAnsi" w:cstheme="minorHAnsi"/>
                <w:sz w:val="17"/>
                <w:szCs w:val="17"/>
              </w:rPr>
              <w:t>TOLIMÁN</w:t>
            </w:r>
          </w:p>
        </w:tc>
        <w:tc>
          <w:tcPr>
            <w:tcW w:w="2410" w:type="dxa"/>
            <w:shd w:val="clear" w:color="auto" w:fill="auto"/>
            <w:noWrap/>
            <w:hideMark/>
          </w:tcPr>
          <w:p w14:paraId="78D70A06" w14:textId="13E05A2C"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19,212,23</w:t>
            </w:r>
            <w:r w:rsidR="00E75537" w:rsidRPr="001045B7">
              <w:rPr>
                <w:rFonts w:asciiTheme="minorHAnsi" w:hAnsiTheme="minorHAnsi" w:cstheme="minorHAnsi"/>
                <w:sz w:val="17"/>
                <w:szCs w:val="17"/>
              </w:rPr>
              <w:t>9</w:t>
            </w:r>
            <w:r w:rsidRPr="001045B7">
              <w:rPr>
                <w:rFonts w:asciiTheme="minorHAnsi" w:hAnsiTheme="minorHAnsi" w:cstheme="minorHAnsi"/>
                <w:sz w:val="17"/>
                <w:szCs w:val="17"/>
              </w:rPr>
              <w:t xml:space="preserve"> </w:t>
            </w:r>
          </w:p>
        </w:tc>
        <w:tc>
          <w:tcPr>
            <w:tcW w:w="1984" w:type="dxa"/>
            <w:shd w:val="clear" w:color="auto" w:fill="auto"/>
            <w:noWrap/>
            <w:hideMark/>
          </w:tcPr>
          <w:p w14:paraId="6CA87CB1" w14:textId="5B37F215"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19,212,23</w:t>
            </w:r>
            <w:r w:rsidR="00134B75" w:rsidRPr="001045B7">
              <w:rPr>
                <w:rFonts w:asciiTheme="minorHAnsi" w:hAnsiTheme="minorHAnsi" w:cstheme="minorHAnsi"/>
                <w:sz w:val="17"/>
                <w:szCs w:val="17"/>
              </w:rPr>
              <w:t>9</w:t>
            </w:r>
            <w:r w:rsidRPr="001045B7">
              <w:rPr>
                <w:rFonts w:asciiTheme="minorHAnsi" w:hAnsiTheme="minorHAnsi" w:cstheme="minorHAnsi"/>
                <w:sz w:val="17"/>
                <w:szCs w:val="17"/>
              </w:rPr>
              <w:t xml:space="preserve"> </w:t>
            </w:r>
          </w:p>
        </w:tc>
      </w:tr>
      <w:tr w:rsidR="00005D88" w:rsidRPr="001045B7" w14:paraId="39C291E6" w14:textId="77777777" w:rsidTr="00162820">
        <w:trPr>
          <w:trHeight w:val="247"/>
        </w:trPr>
        <w:tc>
          <w:tcPr>
            <w:tcW w:w="2547" w:type="dxa"/>
            <w:shd w:val="clear" w:color="auto" w:fill="auto"/>
            <w:noWrap/>
            <w:hideMark/>
          </w:tcPr>
          <w:p w14:paraId="0B1054D3" w14:textId="1A9CD095" w:rsidR="00005D88" w:rsidRPr="001045B7" w:rsidRDefault="00005D88" w:rsidP="00005D88">
            <w:pPr>
              <w:rPr>
                <w:rFonts w:asciiTheme="minorHAnsi" w:hAnsiTheme="minorHAnsi" w:cstheme="minorHAnsi"/>
                <w:sz w:val="17"/>
                <w:szCs w:val="17"/>
              </w:rPr>
            </w:pPr>
            <w:proofErr w:type="spellStart"/>
            <w:r w:rsidRPr="001045B7">
              <w:rPr>
                <w:rFonts w:asciiTheme="minorHAnsi" w:hAnsiTheme="minorHAnsi" w:cstheme="minorHAnsi"/>
                <w:sz w:val="17"/>
                <w:szCs w:val="17"/>
              </w:rPr>
              <w:t>UAQ</w:t>
            </w:r>
            <w:proofErr w:type="spellEnd"/>
          </w:p>
        </w:tc>
        <w:tc>
          <w:tcPr>
            <w:tcW w:w="2410" w:type="dxa"/>
            <w:shd w:val="clear" w:color="auto" w:fill="auto"/>
            <w:noWrap/>
            <w:hideMark/>
          </w:tcPr>
          <w:p w14:paraId="0C92DFA6" w14:textId="5497CAB1"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86,275,099 </w:t>
            </w:r>
          </w:p>
        </w:tc>
        <w:tc>
          <w:tcPr>
            <w:tcW w:w="1984" w:type="dxa"/>
            <w:shd w:val="clear" w:color="auto" w:fill="auto"/>
            <w:noWrap/>
            <w:hideMark/>
          </w:tcPr>
          <w:p w14:paraId="799A913C" w14:textId="747BF8D4" w:rsidR="00005D88" w:rsidRPr="001045B7" w:rsidRDefault="00005D88" w:rsidP="00005D88">
            <w:pPr>
              <w:jc w:val="right"/>
              <w:rPr>
                <w:rFonts w:asciiTheme="minorHAnsi" w:hAnsiTheme="minorHAnsi" w:cstheme="minorHAnsi"/>
                <w:sz w:val="17"/>
                <w:szCs w:val="17"/>
              </w:rPr>
            </w:pPr>
            <w:r w:rsidRPr="001045B7">
              <w:rPr>
                <w:rFonts w:asciiTheme="minorHAnsi" w:hAnsiTheme="minorHAnsi" w:cstheme="minorHAnsi"/>
                <w:sz w:val="17"/>
                <w:szCs w:val="17"/>
              </w:rPr>
              <w:t xml:space="preserve">                  62,432,06</w:t>
            </w:r>
            <w:r w:rsidR="00134B75" w:rsidRPr="001045B7">
              <w:rPr>
                <w:rFonts w:asciiTheme="minorHAnsi" w:hAnsiTheme="minorHAnsi" w:cstheme="minorHAnsi"/>
                <w:sz w:val="17"/>
                <w:szCs w:val="17"/>
              </w:rPr>
              <w:t>3</w:t>
            </w:r>
            <w:r w:rsidRPr="001045B7">
              <w:rPr>
                <w:rFonts w:asciiTheme="minorHAnsi" w:hAnsiTheme="minorHAnsi" w:cstheme="minorHAnsi"/>
                <w:sz w:val="17"/>
                <w:szCs w:val="17"/>
              </w:rPr>
              <w:t xml:space="preserve"> </w:t>
            </w:r>
          </w:p>
        </w:tc>
      </w:tr>
      <w:tr w:rsidR="000A6CB0" w:rsidRPr="001045B7" w14:paraId="29B5E3D8" w14:textId="77777777" w:rsidTr="00E21869">
        <w:trPr>
          <w:trHeight w:val="64"/>
        </w:trPr>
        <w:tc>
          <w:tcPr>
            <w:tcW w:w="2547" w:type="dxa"/>
            <w:shd w:val="clear" w:color="auto" w:fill="D9D9D9" w:themeFill="background1" w:themeFillShade="D9"/>
            <w:noWrap/>
            <w:hideMark/>
          </w:tcPr>
          <w:p w14:paraId="4E83764E" w14:textId="77777777" w:rsidR="000A6CB0" w:rsidRPr="001045B7" w:rsidRDefault="000A6CB0" w:rsidP="000A6CB0">
            <w:pPr>
              <w:jc w:val="center"/>
              <w:rPr>
                <w:rFonts w:asciiTheme="minorHAnsi" w:hAnsiTheme="minorHAnsi" w:cstheme="minorHAnsi"/>
                <w:b/>
                <w:sz w:val="17"/>
                <w:szCs w:val="17"/>
              </w:rPr>
            </w:pPr>
            <w:proofErr w:type="gramStart"/>
            <w:r w:rsidRPr="001045B7">
              <w:rPr>
                <w:rFonts w:asciiTheme="minorHAnsi" w:hAnsiTheme="minorHAnsi" w:cstheme="minorHAnsi"/>
                <w:b/>
                <w:sz w:val="17"/>
                <w:szCs w:val="17"/>
              </w:rPr>
              <w:t>Total</w:t>
            </w:r>
            <w:proofErr w:type="gramEnd"/>
            <w:r w:rsidRPr="001045B7">
              <w:rPr>
                <w:rFonts w:asciiTheme="minorHAnsi" w:hAnsiTheme="minorHAnsi" w:cstheme="minorHAnsi"/>
                <w:b/>
                <w:sz w:val="17"/>
                <w:szCs w:val="17"/>
              </w:rPr>
              <w:t xml:space="preserve"> general</w:t>
            </w:r>
          </w:p>
        </w:tc>
        <w:tc>
          <w:tcPr>
            <w:tcW w:w="2410" w:type="dxa"/>
            <w:shd w:val="clear" w:color="auto" w:fill="D9D9D9" w:themeFill="background1" w:themeFillShade="D9"/>
            <w:noWrap/>
            <w:hideMark/>
          </w:tcPr>
          <w:p w14:paraId="245E6242" w14:textId="2BB3ED6B" w:rsidR="000A6CB0" w:rsidRPr="001045B7" w:rsidRDefault="000A6CB0" w:rsidP="000A6CB0">
            <w:pPr>
              <w:jc w:val="right"/>
              <w:rPr>
                <w:rFonts w:asciiTheme="minorHAnsi" w:hAnsiTheme="minorHAnsi" w:cstheme="minorHAnsi"/>
                <w:b/>
                <w:sz w:val="17"/>
                <w:szCs w:val="17"/>
              </w:rPr>
            </w:pPr>
            <w:r w:rsidRPr="001045B7">
              <w:rPr>
                <w:rFonts w:asciiTheme="minorHAnsi" w:hAnsiTheme="minorHAnsi" w:cstheme="minorHAnsi"/>
                <w:b/>
                <w:sz w:val="17"/>
                <w:szCs w:val="17"/>
              </w:rPr>
              <w:t xml:space="preserve">               2,044,109,750 </w:t>
            </w:r>
          </w:p>
        </w:tc>
        <w:tc>
          <w:tcPr>
            <w:tcW w:w="1984" w:type="dxa"/>
            <w:shd w:val="clear" w:color="auto" w:fill="D9D9D9" w:themeFill="background1" w:themeFillShade="D9"/>
            <w:noWrap/>
            <w:hideMark/>
          </w:tcPr>
          <w:p w14:paraId="53EC423C" w14:textId="339A1AEF" w:rsidR="000A6CB0" w:rsidRPr="001045B7" w:rsidRDefault="000A6CB0" w:rsidP="000A6CB0">
            <w:pPr>
              <w:jc w:val="right"/>
              <w:rPr>
                <w:rFonts w:asciiTheme="minorHAnsi" w:hAnsiTheme="minorHAnsi" w:cstheme="minorHAnsi"/>
                <w:b/>
                <w:sz w:val="17"/>
                <w:szCs w:val="17"/>
              </w:rPr>
            </w:pPr>
            <w:r w:rsidRPr="001045B7">
              <w:rPr>
                <w:rFonts w:asciiTheme="minorHAnsi" w:hAnsiTheme="minorHAnsi" w:cstheme="minorHAnsi"/>
                <w:b/>
                <w:sz w:val="17"/>
                <w:szCs w:val="17"/>
              </w:rPr>
              <w:t xml:space="preserve">           1,793,585,591 </w:t>
            </w:r>
          </w:p>
        </w:tc>
      </w:tr>
    </w:tbl>
    <w:p w14:paraId="2F9A0329" w14:textId="77777777" w:rsidR="00B47153" w:rsidRPr="001045B7" w:rsidRDefault="00B47153" w:rsidP="00B47153">
      <w:pPr>
        <w:spacing w:line="276" w:lineRule="auto"/>
        <w:jc w:val="both"/>
        <w:rPr>
          <w:rFonts w:asciiTheme="minorHAnsi" w:hAnsiTheme="minorHAnsi" w:cstheme="minorHAnsi"/>
          <w:sz w:val="17"/>
          <w:szCs w:val="17"/>
        </w:rPr>
      </w:pPr>
    </w:p>
    <w:p w14:paraId="75A2B5C8" w14:textId="77777777" w:rsidR="00B47153" w:rsidRPr="001045B7" w:rsidRDefault="00B47153" w:rsidP="00B47153">
      <w:pPr>
        <w:spacing w:line="276" w:lineRule="auto"/>
        <w:jc w:val="both"/>
        <w:rPr>
          <w:rFonts w:asciiTheme="minorHAnsi" w:hAnsiTheme="minorHAnsi" w:cstheme="minorHAnsi"/>
          <w:sz w:val="17"/>
          <w:szCs w:val="17"/>
        </w:rPr>
      </w:pPr>
    </w:p>
    <w:p w14:paraId="7F6FE3AA" w14:textId="77777777" w:rsidR="00B47153" w:rsidRPr="001045B7" w:rsidRDefault="00B47153" w:rsidP="00B47153">
      <w:pPr>
        <w:spacing w:line="276" w:lineRule="auto"/>
        <w:jc w:val="both"/>
        <w:rPr>
          <w:rFonts w:asciiTheme="minorHAnsi" w:hAnsiTheme="minorHAnsi" w:cstheme="minorHAnsi"/>
          <w:sz w:val="17"/>
          <w:szCs w:val="17"/>
        </w:rPr>
      </w:pPr>
    </w:p>
    <w:p w14:paraId="1D59A1F7" w14:textId="5AEA797A" w:rsidR="004C19A8" w:rsidRPr="001045B7" w:rsidRDefault="004C19A8" w:rsidP="00D40155">
      <w:pPr>
        <w:rPr>
          <w:rFonts w:asciiTheme="minorHAnsi" w:hAnsiTheme="minorHAnsi" w:cstheme="minorHAnsi"/>
          <w:sz w:val="17"/>
          <w:szCs w:val="17"/>
        </w:rPr>
      </w:pPr>
    </w:p>
    <w:p w14:paraId="7B147133" w14:textId="71A1E9E6" w:rsidR="00A36A7A" w:rsidRPr="001045B7" w:rsidRDefault="00A36A7A" w:rsidP="001B619A">
      <w:pPr>
        <w:jc w:val="both"/>
        <w:rPr>
          <w:rFonts w:asciiTheme="minorHAnsi" w:hAnsiTheme="minorHAnsi" w:cstheme="minorHAnsi"/>
          <w:sz w:val="17"/>
          <w:szCs w:val="17"/>
        </w:rPr>
      </w:pPr>
    </w:p>
    <w:p w14:paraId="62FB5D16" w14:textId="77777777" w:rsidR="00AC4D52" w:rsidRPr="001045B7" w:rsidRDefault="00AC4D52" w:rsidP="00572E7D">
      <w:pPr>
        <w:spacing w:line="276" w:lineRule="auto"/>
        <w:jc w:val="both"/>
        <w:rPr>
          <w:rFonts w:asciiTheme="minorHAnsi" w:hAnsiTheme="minorHAnsi" w:cstheme="minorHAnsi"/>
          <w:sz w:val="17"/>
          <w:szCs w:val="17"/>
        </w:rPr>
      </w:pPr>
    </w:p>
    <w:p w14:paraId="07503EBC" w14:textId="77777777" w:rsidR="00AC4D52" w:rsidRPr="001045B7" w:rsidRDefault="00AC4D52" w:rsidP="00572E7D">
      <w:pPr>
        <w:spacing w:line="276" w:lineRule="auto"/>
        <w:jc w:val="both"/>
        <w:rPr>
          <w:rFonts w:asciiTheme="minorHAnsi" w:hAnsiTheme="minorHAnsi" w:cstheme="minorHAnsi"/>
          <w:sz w:val="17"/>
          <w:szCs w:val="17"/>
        </w:rPr>
      </w:pPr>
    </w:p>
    <w:p w14:paraId="468B3E1F" w14:textId="77777777" w:rsidR="00AC4D52" w:rsidRPr="001045B7" w:rsidRDefault="00AC4D52" w:rsidP="00572E7D">
      <w:pPr>
        <w:spacing w:line="276" w:lineRule="auto"/>
        <w:jc w:val="both"/>
        <w:rPr>
          <w:rFonts w:asciiTheme="minorHAnsi" w:hAnsiTheme="minorHAnsi" w:cstheme="minorHAnsi"/>
          <w:sz w:val="17"/>
          <w:szCs w:val="17"/>
        </w:rPr>
      </w:pPr>
    </w:p>
    <w:p w14:paraId="7AAD5022" w14:textId="77777777" w:rsidR="00AC4D52" w:rsidRPr="001045B7" w:rsidRDefault="00AC4D52" w:rsidP="00572E7D">
      <w:pPr>
        <w:spacing w:line="276" w:lineRule="auto"/>
        <w:jc w:val="both"/>
        <w:rPr>
          <w:rFonts w:asciiTheme="minorHAnsi" w:hAnsiTheme="minorHAnsi" w:cstheme="minorHAnsi"/>
          <w:sz w:val="17"/>
          <w:szCs w:val="17"/>
        </w:rPr>
      </w:pPr>
    </w:p>
    <w:p w14:paraId="1463389D" w14:textId="77777777" w:rsidR="00AC4D52" w:rsidRPr="001045B7" w:rsidRDefault="00AC4D52" w:rsidP="00572E7D">
      <w:pPr>
        <w:spacing w:line="276" w:lineRule="auto"/>
        <w:jc w:val="both"/>
        <w:rPr>
          <w:rFonts w:asciiTheme="minorHAnsi" w:hAnsiTheme="minorHAnsi" w:cstheme="minorHAnsi"/>
          <w:sz w:val="17"/>
          <w:szCs w:val="17"/>
        </w:rPr>
      </w:pPr>
    </w:p>
    <w:p w14:paraId="650CFBC4" w14:textId="77777777" w:rsidR="00AC4D52" w:rsidRPr="001045B7" w:rsidRDefault="00AC4D52" w:rsidP="00572E7D">
      <w:pPr>
        <w:spacing w:line="276" w:lineRule="auto"/>
        <w:jc w:val="both"/>
        <w:rPr>
          <w:rFonts w:asciiTheme="minorHAnsi" w:hAnsiTheme="minorHAnsi" w:cstheme="minorHAnsi"/>
          <w:sz w:val="17"/>
          <w:szCs w:val="17"/>
        </w:rPr>
      </w:pPr>
    </w:p>
    <w:p w14:paraId="704F94AC" w14:textId="77777777" w:rsidR="00AC4D52" w:rsidRPr="001045B7" w:rsidRDefault="00AC4D52" w:rsidP="00572E7D">
      <w:pPr>
        <w:spacing w:line="276" w:lineRule="auto"/>
        <w:jc w:val="both"/>
        <w:rPr>
          <w:rFonts w:asciiTheme="minorHAnsi" w:hAnsiTheme="minorHAnsi" w:cstheme="minorHAnsi"/>
          <w:sz w:val="17"/>
          <w:szCs w:val="17"/>
        </w:rPr>
      </w:pPr>
    </w:p>
    <w:p w14:paraId="37B7A49A" w14:textId="77777777" w:rsidR="004532BD" w:rsidRPr="001045B7" w:rsidRDefault="004532BD" w:rsidP="00572E7D">
      <w:pPr>
        <w:spacing w:line="276" w:lineRule="auto"/>
        <w:jc w:val="both"/>
        <w:rPr>
          <w:rFonts w:asciiTheme="minorHAnsi" w:hAnsiTheme="minorHAnsi" w:cstheme="minorHAnsi"/>
          <w:sz w:val="17"/>
          <w:szCs w:val="17"/>
        </w:rPr>
      </w:pPr>
    </w:p>
    <w:p w14:paraId="7C8FC358" w14:textId="77777777" w:rsidR="004532BD" w:rsidRPr="001045B7" w:rsidRDefault="004532BD" w:rsidP="00572E7D">
      <w:pPr>
        <w:spacing w:line="276" w:lineRule="auto"/>
        <w:jc w:val="both"/>
        <w:rPr>
          <w:rFonts w:asciiTheme="minorHAnsi" w:hAnsiTheme="minorHAnsi" w:cstheme="minorHAnsi"/>
          <w:sz w:val="17"/>
          <w:szCs w:val="17"/>
        </w:rPr>
      </w:pPr>
    </w:p>
    <w:p w14:paraId="4012DCD3" w14:textId="77777777" w:rsidR="004532BD" w:rsidRPr="001045B7" w:rsidRDefault="004532BD" w:rsidP="00572E7D">
      <w:pPr>
        <w:spacing w:line="276" w:lineRule="auto"/>
        <w:jc w:val="both"/>
        <w:rPr>
          <w:rFonts w:asciiTheme="minorHAnsi" w:hAnsiTheme="minorHAnsi" w:cstheme="minorHAnsi"/>
          <w:sz w:val="17"/>
          <w:szCs w:val="17"/>
        </w:rPr>
      </w:pPr>
    </w:p>
    <w:p w14:paraId="70470A7D" w14:textId="77777777" w:rsidR="004532BD" w:rsidRPr="001045B7" w:rsidRDefault="004532BD" w:rsidP="00572E7D">
      <w:pPr>
        <w:spacing w:line="276" w:lineRule="auto"/>
        <w:jc w:val="both"/>
        <w:rPr>
          <w:rFonts w:asciiTheme="minorHAnsi" w:hAnsiTheme="minorHAnsi" w:cstheme="minorHAnsi"/>
          <w:sz w:val="17"/>
          <w:szCs w:val="17"/>
        </w:rPr>
      </w:pPr>
    </w:p>
    <w:p w14:paraId="3C28BB43" w14:textId="77777777" w:rsidR="004532BD" w:rsidRPr="001045B7" w:rsidRDefault="004532BD" w:rsidP="00572E7D">
      <w:pPr>
        <w:spacing w:line="276" w:lineRule="auto"/>
        <w:jc w:val="both"/>
        <w:rPr>
          <w:rFonts w:asciiTheme="minorHAnsi" w:hAnsiTheme="minorHAnsi" w:cstheme="minorHAnsi"/>
          <w:sz w:val="17"/>
          <w:szCs w:val="17"/>
        </w:rPr>
      </w:pPr>
    </w:p>
    <w:p w14:paraId="2A8E65A9" w14:textId="77777777" w:rsidR="004532BD" w:rsidRPr="001045B7" w:rsidRDefault="004532BD" w:rsidP="00572E7D">
      <w:pPr>
        <w:spacing w:line="276" w:lineRule="auto"/>
        <w:jc w:val="both"/>
        <w:rPr>
          <w:rFonts w:asciiTheme="minorHAnsi" w:hAnsiTheme="minorHAnsi" w:cstheme="minorHAnsi"/>
          <w:sz w:val="17"/>
          <w:szCs w:val="17"/>
        </w:rPr>
      </w:pPr>
    </w:p>
    <w:p w14:paraId="07374A07" w14:textId="77777777" w:rsidR="004532BD" w:rsidRPr="001045B7" w:rsidRDefault="004532BD" w:rsidP="00572E7D">
      <w:pPr>
        <w:spacing w:line="276" w:lineRule="auto"/>
        <w:jc w:val="both"/>
        <w:rPr>
          <w:rFonts w:asciiTheme="minorHAnsi" w:hAnsiTheme="minorHAnsi" w:cstheme="minorHAnsi"/>
          <w:sz w:val="17"/>
          <w:szCs w:val="17"/>
        </w:rPr>
      </w:pPr>
    </w:p>
    <w:p w14:paraId="2AF502CC" w14:textId="77777777" w:rsidR="004532BD" w:rsidRPr="001045B7" w:rsidRDefault="004532BD" w:rsidP="00572E7D">
      <w:pPr>
        <w:spacing w:line="276" w:lineRule="auto"/>
        <w:jc w:val="both"/>
        <w:rPr>
          <w:rFonts w:asciiTheme="minorHAnsi" w:hAnsiTheme="minorHAnsi" w:cstheme="minorHAnsi"/>
          <w:sz w:val="17"/>
          <w:szCs w:val="17"/>
        </w:rPr>
      </w:pPr>
    </w:p>
    <w:p w14:paraId="04280A2E" w14:textId="77777777" w:rsidR="004532BD" w:rsidRPr="001045B7" w:rsidRDefault="004532BD" w:rsidP="00572E7D">
      <w:pPr>
        <w:spacing w:line="276" w:lineRule="auto"/>
        <w:jc w:val="both"/>
        <w:rPr>
          <w:rFonts w:asciiTheme="minorHAnsi" w:hAnsiTheme="minorHAnsi" w:cstheme="minorHAnsi"/>
          <w:sz w:val="17"/>
          <w:szCs w:val="17"/>
        </w:rPr>
      </w:pPr>
    </w:p>
    <w:p w14:paraId="241B0386" w14:textId="77777777" w:rsidR="004532BD" w:rsidRPr="001045B7" w:rsidRDefault="004532BD" w:rsidP="00572E7D">
      <w:pPr>
        <w:spacing w:line="276" w:lineRule="auto"/>
        <w:jc w:val="both"/>
        <w:rPr>
          <w:rFonts w:asciiTheme="minorHAnsi" w:hAnsiTheme="minorHAnsi" w:cstheme="minorHAnsi"/>
          <w:sz w:val="17"/>
          <w:szCs w:val="17"/>
        </w:rPr>
      </w:pPr>
    </w:p>
    <w:p w14:paraId="5D457A1D" w14:textId="77777777" w:rsidR="004532BD" w:rsidRPr="001045B7" w:rsidRDefault="004532BD" w:rsidP="00572E7D">
      <w:pPr>
        <w:spacing w:line="276" w:lineRule="auto"/>
        <w:jc w:val="both"/>
        <w:rPr>
          <w:rFonts w:asciiTheme="minorHAnsi" w:hAnsiTheme="minorHAnsi" w:cstheme="minorHAnsi"/>
          <w:sz w:val="17"/>
          <w:szCs w:val="17"/>
        </w:rPr>
      </w:pPr>
    </w:p>
    <w:p w14:paraId="0B3F9EB9" w14:textId="77777777" w:rsidR="004532BD" w:rsidRPr="001045B7" w:rsidRDefault="004532BD" w:rsidP="00572E7D">
      <w:pPr>
        <w:spacing w:line="276" w:lineRule="auto"/>
        <w:jc w:val="both"/>
        <w:rPr>
          <w:rFonts w:asciiTheme="minorHAnsi" w:hAnsiTheme="minorHAnsi" w:cstheme="minorHAnsi"/>
          <w:sz w:val="17"/>
          <w:szCs w:val="17"/>
        </w:rPr>
      </w:pPr>
    </w:p>
    <w:p w14:paraId="2674A0E3" w14:textId="77777777" w:rsidR="004532BD" w:rsidRPr="001045B7" w:rsidRDefault="004532BD" w:rsidP="00572E7D">
      <w:pPr>
        <w:spacing w:line="276" w:lineRule="auto"/>
        <w:jc w:val="both"/>
        <w:rPr>
          <w:rFonts w:asciiTheme="minorHAnsi" w:hAnsiTheme="minorHAnsi" w:cstheme="minorHAnsi"/>
          <w:sz w:val="17"/>
          <w:szCs w:val="17"/>
        </w:rPr>
      </w:pPr>
    </w:p>
    <w:p w14:paraId="19CADEC6" w14:textId="77777777" w:rsidR="004532BD" w:rsidRPr="001045B7" w:rsidRDefault="004532BD" w:rsidP="00572E7D">
      <w:pPr>
        <w:spacing w:line="276" w:lineRule="auto"/>
        <w:jc w:val="both"/>
        <w:rPr>
          <w:rFonts w:asciiTheme="minorHAnsi" w:hAnsiTheme="minorHAnsi" w:cstheme="minorHAnsi"/>
          <w:sz w:val="17"/>
          <w:szCs w:val="17"/>
        </w:rPr>
      </w:pPr>
    </w:p>
    <w:p w14:paraId="4070B96D" w14:textId="20A66ECF" w:rsidR="00C60AF7" w:rsidRPr="001045B7" w:rsidRDefault="000A6CB0" w:rsidP="00572E7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Siendo un total de Inversión Pública Ejecutada y pagada al cuarto trimestre de 2024 (dos mil veinticuatro) por Municipios y Entidades Paraestatales de 1’793,585,591 (mil </w:t>
      </w:r>
      <w:r w:rsidR="00BE2AE1" w:rsidRPr="001045B7">
        <w:rPr>
          <w:rFonts w:asciiTheme="minorHAnsi" w:hAnsiTheme="minorHAnsi" w:cstheme="minorHAnsi"/>
          <w:sz w:val="17"/>
          <w:szCs w:val="17"/>
        </w:rPr>
        <w:t>setecientos</w:t>
      </w:r>
      <w:r w:rsidRPr="001045B7">
        <w:rPr>
          <w:rFonts w:asciiTheme="minorHAnsi" w:hAnsiTheme="minorHAnsi" w:cstheme="minorHAnsi"/>
          <w:sz w:val="17"/>
          <w:szCs w:val="17"/>
        </w:rPr>
        <w:t xml:space="preserve"> noventa y tres millones quinientos ochenta y cinco mil quinientos noventa y uno) más la obra pública ejecutada en el Poder Ejecutivo del Estado de Querétaro que asciende </w:t>
      </w:r>
      <w:r w:rsidR="00BE2AE1" w:rsidRPr="001045B7">
        <w:rPr>
          <w:rFonts w:asciiTheme="minorHAnsi" w:hAnsiTheme="minorHAnsi" w:cstheme="minorHAnsi"/>
          <w:sz w:val="17"/>
          <w:szCs w:val="17"/>
        </w:rPr>
        <w:t>a</w:t>
      </w:r>
      <w:r w:rsidRPr="001045B7">
        <w:rPr>
          <w:rFonts w:asciiTheme="minorHAnsi" w:hAnsiTheme="minorHAnsi" w:cstheme="minorHAnsi"/>
          <w:sz w:val="17"/>
          <w:szCs w:val="17"/>
        </w:rPr>
        <w:t xml:space="preserve"> la cantidad de 3’283,692,97</w:t>
      </w:r>
      <w:r w:rsidR="00BE2AE1" w:rsidRPr="001045B7">
        <w:rPr>
          <w:rFonts w:asciiTheme="minorHAnsi" w:hAnsiTheme="minorHAnsi" w:cstheme="minorHAnsi"/>
          <w:sz w:val="17"/>
          <w:szCs w:val="17"/>
        </w:rPr>
        <w:t>4 (tres mil doscientos ochenta y tres millones seiscientos noventa y dos mil novecientos setenta y cuatro)</w:t>
      </w:r>
      <w:r w:rsidRPr="001045B7">
        <w:rPr>
          <w:rFonts w:asciiTheme="minorHAnsi" w:hAnsiTheme="minorHAnsi" w:cstheme="minorHAnsi"/>
          <w:sz w:val="17"/>
          <w:szCs w:val="17"/>
        </w:rPr>
        <w:t xml:space="preserve"> dando un total de obra pública realizada en el Estado de Querétaro por 5’077,278,56</w:t>
      </w:r>
      <w:r w:rsidR="00BE2AE1" w:rsidRPr="001045B7">
        <w:rPr>
          <w:rFonts w:asciiTheme="minorHAnsi" w:hAnsiTheme="minorHAnsi" w:cstheme="minorHAnsi"/>
          <w:sz w:val="17"/>
          <w:szCs w:val="17"/>
        </w:rPr>
        <w:t>5 (cinco mil setenta y siente millones doscientos setenta y ocho mil quinientos sesenta y cinco)</w:t>
      </w:r>
      <w:r w:rsidRPr="001045B7">
        <w:rPr>
          <w:rFonts w:asciiTheme="minorHAnsi" w:hAnsiTheme="minorHAnsi" w:cstheme="minorHAnsi"/>
          <w:sz w:val="17"/>
          <w:szCs w:val="17"/>
        </w:rPr>
        <w:t>.</w:t>
      </w:r>
    </w:p>
    <w:p w14:paraId="2BF5AEAD" w14:textId="0B3AF486" w:rsidR="00A330AF" w:rsidRPr="001045B7" w:rsidRDefault="00A330AF" w:rsidP="00572E7D">
      <w:pPr>
        <w:spacing w:line="276" w:lineRule="auto"/>
        <w:jc w:val="both"/>
        <w:rPr>
          <w:rFonts w:asciiTheme="minorHAnsi" w:hAnsiTheme="minorHAnsi" w:cstheme="minorHAnsi"/>
          <w:sz w:val="17"/>
          <w:szCs w:val="17"/>
        </w:rPr>
      </w:pPr>
    </w:p>
    <w:p w14:paraId="6FC36BB4" w14:textId="3707CCFB" w:rsidR="00A330AF" w:rsidRPr="001045B7" w:rsidRDefault="00A330AF" w:rsidP="00572E7D">
      <w:pPr>
        <w:spacing w:line="276" w:lineRule="auto"/>
        <w:jc w:val="both"/>
        <w:rPr>
          <w:rFonts w:asciiTheme="minorHAnsi" w:hAnsiTheme="minorHAnsi" w:cstheme="minorHAnsi"/>
          <w:sz w:val="17"/>
          <w:szCs w:val="17"/>
        </w:rPr>
      </w:pPr>
    </w:p>
    <w:p w14:paraId="414F84F0" w14:textId="22ABB72B" w:rsidR="00A330AF" w:rsidRPr="001045B7" w:rsidRDefault="00A330AF" w:rsidP="00572E7D">
      <w:pPr>
        <w:spacing w:line="276" w:lineRule="auto"/>
        <w:jc w:val="both"/>
        <w:rPr>
          <w:rFonts w:asciiTheme="minorHAnsi" w:hAnsiTheme="minorHAnsi" w:cstheme="minorHAnsi"/>
          <w:sz w:val="17"/>
          <w:szCs w:val="17"/>
        </w:rPr>
      </w:pPr>
    </w:p>
    <w:p w14:paraId="309EA724" w14:textId="517EE499" w:rsidR="00A330AF" w:rsidRPr="001045B7" w:rsidRDefault="00A330AF" w:rsidP="00572E7D">
      <w:pPr>
        <w:spacing w:line="276" w:lineRule="auto"/>
        <w:jc w:val="both"/>
        <w:rPr>
          <w:rFonts w:asciiTheme="minorHAnsi" w:hAnsiTheme="minorHAnsi" w:cstheme="minorHAnsi"/>
          <w:sz w:val="17"/>
          <w:szCs w:val="17"/>
        </w:rPr>
      </w:pPr>
    </w:p>
    <w:p w14:paraId="62408CF5" w14:textId="77777777" w:rsidR="000A45C5" w:rsidRPr="001045B7" w:rsidRDefault="000A45C5" w:rsidP="00572E7D">
      <w:pPr>
        <w:spacing w:line="276" w:lineRule="auto"/>
        <w:jc w:val="both"/>
        <w:rPr>
          <w:rFonts w:asciiTheme="minorHAnsi" w:hAnsiTheme="minorHAnsi" w:cstheme="minorHAnsi"/>
          <w:sz w:val="17"/>
          <w:szCs w:val="17"/>
        </w:rPr>
      </w:pPr>
    </w:p>
    <w:p w14:paraId="0C36A05E" w14:textId="77777777" w:rsidR="00CD4A00" w:rsidRPr="001045B7" w:rsidRDefault="00CD4A00" w:rsidP="00572E7D">
      <w:pPr>
        <w:spacing w:line="276" w:lineRule="auto"/>
        <w:jc w:val="both"/>
        <w:rPr>
          <w:rFonts w:asciiTheme="minorHAnsi" w:hAnsiTheme="minorHAnsi" w:cstheme="minorHAnsi"/>
          <w:sz w:val="17"/>
          <w:szCs w:val="17"/>
        </w:rPr>
      </w:pPr>
    </w:p>
    <w:p w14:paraId="657228D1" w14:textId="6AF3BE3C" w:rsidR="00B47153" w:rsidRPr="001045B7" w:rsidRDefault="00B47153" w:rsidP="00572E7D">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w:t>
      </w:r>
      <w:r w:rsidRPr="001045B7">
        <w:rPr>
          <w:rFonts w:asciiTheme="minorHAnsi" w:hAnsiTheme="minorHAnsi" w:cstheme="minorHAnsi"/>
          <w:sz w:val="17"/>
          <w:szCs w:val="17"/>
        </w:rPr>
        <w:tab/>
        <w:t>Otros Gastos y Pérdidas Extraordinarias</w:t>
      </w:r>
    </w:p>
    <w:p w14:paraId="0ABCC0C2" w14:textId="0A2787D2" w:rsidR="00B47153" w:rsidRPr="001045B7" w:rsidRDefault="00B47153" w:rsidP="00860054">
      <w:pPr>
        <w:spacing w:line="276" w:lineRule="auto"/>
        <w:ind w:left="708"/>
        <w:jc w:val="both"/>
        <w:rPr>
          <w:rFonts w:asciiTheme="minorHAnsi" w:hAnsiTheme="minorHAnsi" w:cstheme="minorHAnsi"/>
          <w:sz w:val="17"/>
          <w:szCs w:val="17"/>
        </w:rPr>
      </w:pPr>
    </w:p>
    <w:p w14:paraId="29923BDD" w14:textId="755D2C04" w:rsidR="00B47153" w:rsidRPr="001045B7" w:rsidRDefault="00B47153" w:rsidP="00B47153">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Se informa el monto de la cuenta Otros Gastos y Pérdidas Extraordinarias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01E23FB0" w14:textId="77777777" w:rsidR="00B47153" w:rsidRPr="001045B7" w:rsidRDefault="00B47153" w:rsidP="00B47153">
      <w:pPr>
        <w:autoSpaceDE w:val="0"/>
        <w:autoSpaceDN w:val="0"/>
        <w:adjustRightInd w:val="0"/>
        <w:spacing w:before="240"/>
        <w:ind w:left="851"/>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margin" w:tblpXSpec="center" w:tblpY="118"/>
        <w:tblW w:w="7821" w:type="dxa"/>
        <w:tblCellMar>
          <w:left w:w="70" w:type="dxa"/>
          <w:right w:w="70" w:type="dxa"/>
        </w:tblCellMar>
        <w:tblLook w:val="04A0" w:firstRow="1" w:lastRow="0" w:firstColumn="1" w:lastColumn="0" w:noHBand="0" w:noVBand="1"/>
      </w:tblPr>
      <w:tblGrid>
        <w:gridCol w:w="6381"/>
        <w:gridCol w:w="1440"/>
      </w:tblGrid>
      <w:tr w:rsidR="00B47153" w:rsidRPr="001045B7" w14:paraId="19A233DD" w14:textId="77777777" w:rsidTr="00E21869">
        <w:trPr>
          <w:trHeight w:val="64"/>
        </w:trPr>
        <w:tc>
          <w:tcPr>
            <w:tcW w:w="638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826F5C" w14:textId="77777777" w:rsidR="00B47153" w:rsidRPr="001045B7" w:rsidRDefault="00B47153"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4DF70C5D" w14:textId="77777777" w:rsidR="00B47153" w:rsidRPr="001045B7" w:rsidRDefault="00B47153" w:rsidP="00B47153">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1271CC" w:rsidRPr="001045B7" w14:paraId="79407E53" w14:textId="77777777" w:rsidTr="00EC5D06">
        <w:trPr>
          <w:trHeight w:val="238"/>
        </w:trPr>
        <w:tc>
          <w:tcPr>
            <w:tcW w:w="6381" w:type="dxa"/>
            <w:tcBorders>
              <w:top w:val="nil"/>
              <w:left w:val="single" w:sz="4" w:space="0" w:color="auto"/>
              <w:bottom w:val="single" w:sz="4" w:space="0" w:color="auto"/>
              <w:right w:val="single" w:sz="4" w:space="0" w:color="auto"/>
            </w:tcBorders>
            <w:shd w:val="clear" w:color="auto" w:fill="auto"/>
            <w:vAlign w:val="center"/>
            <w:hideMark/>
          </w:tcPr>
          <w:p w14:paraId="7EAC6439" w14:textId="77777777" w:rsidR="001271CC" w:rsidRPr="001045B7" w:rsidRDefault="001271CC" w:rsidP="001271C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Estimaciones, Depreciaciones, Deterioros, Obsolescencia y Amortizaciones</w:t>
            </w:r>
          </w:p>
        </w:tc>
        <w:tc>
          <w:tcPr>
            <w:tcW w:w="1440" w:type="dxa"/>
            <w:tcBorders>
              <w:top w:val="nil"/>
              <w:left w:val="nil"/>
              <w:bottom w:val="single" w:sz="4" w:space="0" w:color="auto"/>
              <w:right w:val="single" w:sz="4" w:space="0" w:color="auto"/>
            </w:tcBorders>
            <w:shd w:val="clear" w:color="auto" w:fill="auto"/>
            <w:hideMark/>
          </w:tcPr>
          <w:p w14:paraId="368DCEBA" w14:textId="55E72AAF"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413,301,858 </w:t>
            </w:r>
          </w:p>
        </w:tc>
      </w:tr>
      <w:tr w:rsidR="001271CC" w:rsidRPr="001045B7" w14:paraId="54136229" w14:textId="77777777" w:rsidTr="00EC5D06">
        <w:trPr>
          <w:trHeight w:val="142"/>
        </w:trPr>
        <w:tc>
          <w:tcPr>
            <w:tcW w:w="6381" w:type="dxa"/>
            <w:tcBorders>
              <w:top w:val="nil"/>
              <w:left w:val="single" w:sz="4" w:space="0" w:color="auto"/>
              <w:bottom w:val="single" w:sz="4" w:space="0" w:color="auto"/>
              <w:right w:val="single" w:sz="4" w:space="0" w:color="auto"/>
            </w:tcBorders>
            <w:shd w:val="clear" w:color="auto" w:fill="auto"/>
            <w:vAlign w:val="center"/>
            <w:hideMark/>
          </w:tcPr>
          <w:p w14:paraId="3A3B1E4E" w14:textId="01F38C3B" w:rsidR="001271CC" w:rsidRPr="001045B7" w:rsidRDefault="001271CC" w:rsidP="001271C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Otros Gastos</w:t>
            </w:r>
          </w:p>
        </w:tc>
        <w:tc>
          <w:tcPr>
            <w:tcW w:w="1440" w:type="dxa"/>
            <w:tcBorders>
              <w:top w:val="nil"/>
              <w:left w:val="nil"/>
              <w:bottom w:val="single" w:sz="4" w:space="0" w:color="auto"/>
              <w:right w:val="single" w:sz="4" w:space="0" w:color="auto"/>
            </w:tcBorders>
            <w:shd w:val="clear" w:color="auto" w:fill="auto"/>
            <w:hideMark/>
          </w:tcPr>
          <w:p w14:paraId="09065C66" w14:textId="5554801E" w:rsidR="001271CC" w:rsidRPr="001045B7" w:rsidRDefault="00AE7619" w:rsidP="001271CC">
            <w:pPr>
              <w:jc w:val="right"/>
              <w:rPr>
                <w:rFonts w:asciiTheme="minorHAnsi" w:hAnsiTheme="minorHAnsi" w:cstheme="minorHAnsi"/>
                <w:sz w:val="17"/>
                <w:szCs w:val="17"/>
              </w:rPr>
            </w:pPr>
            <w:r w:rsidRPr="001045B7">
              <w:rPr>
                <w:rFonts w:asciiTheme="minorHAnsi" w:hAnsiTheme="minorHAnsi" w:cstheme="minorHAnsi"/>
                <w:sz w:val="17"/>
                <w:szCs w:val="17"/>
              </w:rPr>
              <w:t>574,202,169</w:t>
            </w:r>
          </w:p>
        </w:tc>
      </w:tr>
      <w:tr w:rsidR="001271CC" w:rsidRPr="001045B7" w14:paraId="13F9E506" w14:textId="77777777" w:rsidTr="00E21869">
        <w:trPr>
          <w:trHeight w:val="64"/>
        </w:trPr>
        <w:tc>
          <w:tcPr>
            <w:tcW w:w="6381" w:type="dxa"/>
            <w:tcBorders>
              <w:top w:val="nil"/>
              <w:left w:val="single" w:sz="4" w:space="0" w:color="auto"/>
              <w:bottom w:val="single" w:sz="4" w:space="0" w:color="auto"/>
              <w:right w:val="single" w:sz="4" w:space="0" w:color="auto"/>
            </w:tcBorders>
            <w:shd w:val="clear" w:color="000000" w:fill="BFBFBF"/>
            <w:vAlign w:val="center"/>
            <w:hideMark/>
          </w:tcPr>
          <w:p w14:paraId="06A9A613" w14:textId="77777777" w:rsidR="001271CC" w:rsidRPr="001045B7" w:rsidRDefault="001271CC" w:rsidP="001271CC">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Otros Gastos y Pérdidas Extraordinarias</w:t>
            </w:r>
          </w:p>
        </w:tc>
        <w:tc>
          <w:tcPr>
            <w:tcW w:w="1440" w:type="dxa"/>
            <w:tcBorders>
              <w:top w:val="nil"/>
              <w:left w:val="nil"/>
              <w:bottom w:val="single" w:sz="4" w:space="0" w:color="auto"/>
              <w:right w:val="single" w:sz="4" w:space="0" w:color="auto"/>
            </w:tcBorders>
            <w:shd w:val="clear" w:color="000000" w:fill="BFBFBF"/>
            <w:hideMark/>
          </w:tcPr>
          <w:p w14:paraId="3554DEF3" w14:textId="7AB42825" w:rsidR="001271CC" w:rsidRPr="001045B7" w:rsidRDefault="006962F9"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987,504,027</w:t>
            </w:r>
          </w:p>
        </w:tc>
      </w:tr>
    </w:tbl>
    <w:p w14:paraId="50A63CC5" w14:textId="77777777" w:rsidR="00B47153" w:rsidRPr="001045B7" w:rsidRDefault="00B47153" w:rsidP="00B47153">
      <w:pPr>
        <w:spacing w:line="276" w:lineRule="auto"/>
        <w:jc w:val="both"/>
        <w:rPr>
          <w:rFonts w:asciiTheme="minorHAnsi" w:hAnsiTheme="minorHAnsi" w:cstheme="minorHAnsi"/>
          <w:sz w:val="17"/>
          <w:szCs w:val="17"/>
        </w:rPr>
      </w:pPr>
    </w:p>
    <w:p w14:paraId="4FE39093" w14:textId="34369ABE" w:rsidR="00B47153" w:rsidRPr="001045B7" w:rsidRDefault="00B47153" w:rsidP="00B47153">
      <w:pPr>
        <w:spacing w:line="276" w:lineRule="auto"/>
        <w:jc w:val="both"/>
        <w:rPr>
          <w:rFonts w:asciiTheme="minorHAnsi" w:hAnsiTheme="minorHAnsi" w:cstheme="minorHAnsi"/>
          <w:sz w:val="17"/>
          <w:szCs w:val="17"/>
        </w:rPr>
      </w:pPr>
    </w:p>
    <w:p w14:paraId="2DDB47B6" w14:textId="5EBEA5DD" w:rsidR="00B47153" w:rsidRPr="001045B7" w:rsidRDefault="00B47153" w:rsidP="00B47153">
      <w:pPr>
        <w:spacing w:line="276" w:lineRule="auto"/>
        <w:jc w:val="both"/>
        <w:rPr>
          <w:rFonts w:asciiTheme="minorHAnsi" w:hAnsiTheme="minorHAnsi" w:cstheme="minorHAnsi"/>
          <w:sz w:val="17"/>
          <w:szCs w:val="17"/>
        </w:rPr>
      </w:pPr>
    </w:p>
    <w:p w14:paraId="52EDE813" w14:textId="647BE4AD" w:rsidR="00FD2D30" w:rsidRPr="001045B7" w:rsidRDefault="00FD2D30" w:rsidP="00B47153">
      <w:pPr>
        <w:spacing w:line="276" w:lineRule="auto"/>
        <w:jc w:val="both"/>
        <w:rPr>
          <w:rFonts w:asciiTheme="minorHAnsi" w:hAnsiTheme="minorHAnsi" w:cstheme="minorHAnsi"/>
          <w:sz w:val="17"/>
          <w:szCs w:val="17"/>
        </w:rPr>
      </w:pPr>
    </w:p>
    <w:p w14:paraId="23AA11C2" w14:textId="4C4C4EA1" w:rsidR="00D40155" w:rsidRPr="001045B7" w:rsidRDefault="00D40155" w:rsidP="00AF6204">
      <w:pPr>
        <w:spacing w:line="276" w:lineRule="auto"/>
        <w:jc w:val="both"/>
        <w:rPr>
          <w:rFonts w:asciiTheme="minorHAnsi" w:hAnsiTheme="minorHAnsi" w:cstheme="minorHAnsi"/>
          <w:sz w:val="17"/>
          <w:szCs w:val="17"/>
        </w:rPr>
      </w:pPr>
    </w:p>
    <w:p w14:paraId="44CD0380" w14:textId="24C360CE" w:rsidR="001325A4" w:rsidRPr="001045B7" w:rsidRDefault="001325A4" w:rsidP="00860054">
      <w:pPr>
        <w:pStyle w:val="Prrafodelista"/>
        <w:numPr>
          <w:ilvl w:val="0"/>
          <w:numId w:val="35"/>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NOTAS AL ESTADO DE SITUACIÓN FINANCIERA</w:t>
      </w:r>
    </w:p>
    <w:p w14:paraId="76657349" w14:textId="0199C7F1" w:rsidR="001325A4" w:rsidRPr="001045B7" w:rsidRDefault="001325A4" w:rsidP="00860054">
      <w:pPr>
        <w:pStyle w:val="Prrafodelista"/>
        <w:spacing w:line="276" w:lineRule="auto"/>
        <w:jc w:val="both"/>
        <w:rPr>
          <w:rFonts w:asciiTheme="minorHAnsi" w:hAnsiTheme="minorHAnsi" w:cstheme="minorHAnsi"/>
          <w:b/>
          <w:sz w:val="17"/>
          <w:szCs w:val="17"/>
        </w:rPr>
      </w:pPr>
    </w:p>
    <w:p w14:paraId="03982CAA" w14:textId="51703D02" w:rsidR="001325A4" w:rsidRPr="001045B7" w:rsidRDefault="001325A4" w:rsidP="00860054">
      <w:pPr>
        <w:pStyle w:val="Prrafodelista"/>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t>Activo</w:t>
      </w:r>
    </w:p>
    <w:p w14:paraId="59E14D77" w14:textId="77777777" w:rsidR="00AE4AE6" w:rsidRPr="001045B7" w:rsidRDefault="00AE4AE6" w:rsidP="00860054">
      <w:pPr>
        <w:pStyle w:val="Prrafodelista"/>
        <w:spacing w:line="276" w:lineRule="auto"/>
        <w:jc w:val="both"/>
        <w:rPr>
          <w:rFonts w:asciiTheme="minorHAnsi" w:hAnsiTheme="minorHAnsi" w:cstheme="minorHAnsi"/>
          <w:sz w:val="17"/>
          <w:szCs w:val="17"/>
        </w:rPr>
      </w:pPr>
    </w:p>
    <w:p w14:paraId="2F9055E8" w14:textId="12B0D478"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Efectivo y Equivalentes</w:t>
      </w:r>
    </w:p>
    <w:p w14:paraId="24D3C56E" w14:textId="77777777" w:rsidR="00450B56" w:rsidRPr="001045B7" w:rsidRDefault="00450B56" w:rsidP="00860054">
      <w:pPr>
        <w:pStyle w:val="Prrafodelista"/>
        <w:spacing w:line="276" w:lineRule="auto"/>
        <w:ind w:left="1416"/>
        <w:jc w:val="both"/>
        <w:rPr>
          <w:rFonts w:asciiTheme="minorHAnsi" w:hAnsiTheme="minorHAnsi" w:cstheme="minorHAnsi"/>
          <w:sz w:val="17"/>
          <w:szCs w:val="17"/>
        </w:rPr>
      </w:pPr>
    </w:p>
    <w:p w14:paraId="0ED0B74E" w14:textId="30D9D438"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En este apartado se informa sobre la integración del rubro efectivo y equivalentes en posición del Poder Ejecutivo del Estado de Querétaro:</w:t>
      </w:r>
    </w:p>
    <w:p w14:paraId="25D5315A" w14:textId="77777777" w:rsidR="00450B56" w:rsidRPr="001045B7" w:rsidRDefault="00450B56" w:rsidP="00450B56">
      <w:pPr>
        <w:autoSpaceDE w:val="0"/>
        <w:autoSpaceDN w:val="0"/>
        <w:adjustRightInd w:val="0"/>
        <w:spacing w:before="240"/>
        <w:ind w:left="426"/>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9711" w:type="dxa"/>
        <w:tblInd w:w="1696" w:type="dxa"/>
        <w:tblCellMar>
          <w:left w:w="70" w:type="dxa"/>
          <w:right w:w="70" w:type="dxa"/>
        </w:tblCellMar>
        <w:tblLook w:val="04A0" w:firstRow="1" w:lastRow="0" w:firstColumn="1" w:lastColumn="0" w:noHBand="0" w:noVBand="1"/>
      </w:tblPr>
      <w:tblGrid>
        <w:gridCol w:w="5351"/>
        <w:gridCol w:w="2180"/>
        <w:gridCol w:w="2180"/>
      </w:tblGrid>
      <w:tr w:rsidR="00450B56" w:rsidRPr="001045B7" w14:paraId="1B4C88A2"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D30735"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C88155" w14:textId="4BF359DA"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163DC5" w14:textId="426496A2"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1271CC" w:rsidRPr="001045B7" w14:paraId="03D4B0E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62227A91"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14:paraId="5FC4E859" w14:textId="7B5F9EBE"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102,200 </w:t>
            </w:r>
          </w:p>
        </w:tc>
        <w:tc>
          <w:tcPr>
            <w:tcW w:w="2180" w:type="dxa"/>
            <w:tcBorders>
              <w:top w:val="single" w:sz="4" w:space="0" w:color="auto"/>
              <w:left w:val="nil"/>
              <w:bottom w:val="single" w:sz="4" w:space="0" w:color="auto"/>
              <w:right w:val="single" w:sz="4" w:space="0" w:color="auto"/>
            </w:tcBorders>
            <w:shd w:val="clear" w:color="auto" w:fill="auto"/>
          </w:tcPr>
          <w:p w14:paraId="2012946C" w14:textId="75EA2770"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435,670 </w:t>
            </w:r>
          </w:p>
        </w:tc>
      </w:tr>
      <w:tr w:rsidR="001271CC" w:rsidRPr="001045B7" w14:paraId="17360D7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11935434"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14:paraId="5C1210E7" w14:textId="6DE6DD0D"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5,387,643,499 </w:t>
            </w:r>
          </w:p>
        </w:tc>
        <w:tc>
          <w:tcPr>
            <w:tcW w:w="2180" w:type="dxa"/>
            <w:tcBorders>
              <w:top w:val="single" w:sz="4" w:space="0" w:color="auto"/>
              <w:left w:val="nil"/>
              <w:bottom w:val="single" w:sz="4" w:space="0" w:color="auto"/>
              <w:right w:val="single" w:sz="4" w:space="0" w:color="auto"/>
            </w:tcBorders>
            <w:shd w:val="clear" w:color="auto" w:fill="auto"/>
          </w:tcPr>
          <w:p w14:paraId="3C1F48BB" w14:textId="453BED53"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5,489,252,181 </w:t>
            </w:r>
          </w:p>
        </w:tc>
      </w:tr>
      <w:tr w:rsidR="001271CC" w:rsidRPr="001045B7" w14:paraId="3411416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0FAF7EC7"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14:paraId="5A9F4506" w14:textId="232A05D5"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6,182,189 </w:t>
            </w:r>
          </w:p>
        </w:tc>
        <w:tc>
          <w:tcPr>
            <w:tcW w:w="2180" w:type="dxa"/>
            <w:tcBorders>
              <w:top w:val="single" w:sz="4" w:space="0" w:color="auto"/>
              <w:left w:val="nil"/>
              <w:bottom w:val="single" w:sz="4" w:space="0" w:color="auto"/>
              <w:right w:val="single" w:sz="4" w:space="0" w:color="auto"/>
            </w:tcBorders>
            <w:shd w:val="clear" w:color="auto" w:fill="auto"/>
          </w:tcPr>
          <w:p w14:paraId="2B27E1E1" w14:textId="7A152D3B"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6,679,498 </w:t>
            </w:r>
          </w:p>
        </w:tc>
      </w:tr>
      <w:tr w:rsidR="001271CC" w:rsidRPr="001045B7" w14:paraId="06FEF096"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15066C34"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14:paraId="3271B652" w14:textId="3F78D34E"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4F6C40CE" w14:textId="0D8603E1"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44D2F30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7D60647C"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14:paraId="75FBD983" w14:textId="286EBEBC"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59D46927" w14:textId="5033AD9F"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6535293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6BC24907" w14:textId="7B22A261"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Depósitos de Fondos de Terceros en Garantía y/o Administración</w:t>
            </w:r>
          </w:p>
        </w:tc>
        <w:tc>
          <w:tcPr>
            <w:tcW w:w="2180" w:type="dxa"/>
            <w:tcBorders>
              <w:top w:val="single" w:sz="4" w:space="0" w:color="auto"/>
              <w:left w:val="nil"/>
              <w:bottom w:val="single" w:sz="4" w:space="0" w:color="auto"/>
              <w:right w:val="single" w:sz="4" w:space="0" w:color="auto"/>
            </w:tcBorders>
            <w:shd w:val="clear" w:color="auto" w:fill="auto"/>
          </w:tcPr>
          <w:p w14:paraId="17788A8E" w14:textId="1EDD4C2D"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06682A8D" w14:textId="2629BA74"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79DDA7F9" w14:textId="77777777" w:rsidTr="00001825">
        <w:trPr>
          <w:trHeight w:val="240"/>
        </w:trPr>
        <w:tc>
          <w:tcPr>
            <w:tcW w:w="5351" w:type="dxa"/>
            <w:tcBorders>
              <w:top w:val="nil"/>
              <w:left w:val="single" w:sz="4" w:space="0" w:color="auto"/>
              <w:bottom w:val="single" w:sz="4" w:space="0" w:color="auto"/>
              <w:right w:val="single" w:sz="4" w:space="0" w:color="auto"/>
            </w:tcBorders>
            <w:shd w:val="clear" w:color="auto" w:fill="auto"/>
          </w:tcPr>
          <w:p w14:paraId="437AA2C1"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Otros Efectivos y Equivalentes</w:t>
            </w:r>
          </w:p>
        </w:tc>
        <w:tc>
          <w:tcPr>
            <w:tcW w:w="2180" w:type="dxa"/>
            <w:tcBorders>
              <w:top w:val="nil"/>
              <w:left w:val="nil"/>
              <w:bottom w:val="single" w:sz="4" w:space="0" w:color="auto"/>
              <w:right w:val="single" w:sz="4" w:space="0" w:color="auto"/>
            </w:tcBorders>
            <w:shd w:val="clear" w:color="auto" w:fill="auto"/>
          </w:tcPr>
          <w:p w14:paraId="52C2B169" w14:textId="7AEB6009"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nil"/>
              <w:left w:val="nil"/>
              <w:bottom w:val="single" w:sz="4" w:space="0" w:color="auto"/>
              <w:right w:val="single" w:sz="4" w:space="0" w:color="auto"/>
            </w:tcBorders>
            <w:shd w:val="clear" w:color="auto" w:fill="auto"/>
          </w:tcPr>
          <w:p w14:paraId="121CE72F" w14:textId="79A9C3BB"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60B834F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1FA9C" w14:textId="77777777" w:rsidR="001271CC" w:rsidRPr="001045B7" w:rsidRDefault="001271CC" w:rsidP="001271CC">
            <w:pPr>
              <w:jc w:val="center"/>
              <w:rPr>
                <w:rFonts w:asciiTheme="minorHAnsi" w:hAnsiTheme="minorHAnsi" w:cstheme="minorHAnsi"/>
                <w:b/>
                <w:sz w:val="17"/>
                <w:szCs w:val="17"/>
              </w:rPr>
            </w:pPr>
            <w:r w:rsidRPr="001045B7">
              <w:rPr>
                <w:rFonts w:asciiTheme="minorHAnsi" w:hAnsiTheme="minorHAnsi" w:cstheme="minorHAnsi"/>
                <w:b/>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tcPr>
          <w:p w14:paraId="607815F3" w14:textId="690CEECD" w:rsidR="001271CC" w:rsidRPr="001045B7" w:rsidRDefault="001271CC"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5,393,927,888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EFEF7" w14:textId="0CF6C55D" w:rsidR="001271CC" w:rsidRPr="001045B7" w:rsidRDefault="001271CC"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5,496,367,349 </w:t>
            </w:r>
          </w:p>
        </w:tc>
      </w:tr>
    </w:tbl>
    <w:p w14:paraId="373FE6FF" w14:textId="0AC648BF" w:rsidR="008812C1" w:rsidRPr="001045B7" w:rsidRDefault="008812C1" w:rsidP="008812C1">
      <w:pPr>
        <w:spacing w:line="276" w:lineRule="auto"/>
        <w:jc w:val="both"/>
        <w:rPr>
          <w:rFonts w:asciiTheme="minorHAnsi" w:hAnsiTheme="minorHAnsi" w:cstheme="minorHAnsi"/>
          <w:sz w:val="17"/>
          <w:szCs w:val="17"/>
        </w:rPr>
      </w:pPr>
    </w:p>
    <w:p w14:paraId="2E32CFB0" w14:textId="432D3E44" w:rsidR="00972607" w:rsidRPr="001045B7" w:rsidRDefault="00972607" w:rsidP="00972607">
      <w:pPr>
        <w:spacing w:line="276" w:lineRule="auto"/>
        <w:ind w:left="142" w:hanging="142"/>
        <w:jc w:val="both"/>
        <w:rPr>
          <w:rFonts w:asciiTheme="minorHAnsi" w:hAnsiTheme="minorHAnsi" w:cstheme="minorHAnsi"/>
          <w:sz w:val="17"/>
          <w:szCs w:val="17"/>
        </w:rPr>
      </w:pPr>
      <w:r w:rsidRPr="001045B7">
        <w:rPr>
          <w:rFonts w:asciiTheme="minorHAnsi" w:hAnsiTheme="minorHAnsi" w:cstheme="minorHAnsi"/>
          <w:sz w:val="17"/>
          <w:szCs w:val="17"/>
        </w:rPr>
        <w:t xml:space="preserve">Se informa la cancelación de 54 (cincuenta y cuatro) cuentas bancarias correspondientes a recursos federales por el término de los proyectos al </w:t>
      </w:r>
      <w:r w:rsidR="003D603B" w:rsidRPr="001045B7">
        <w:rPr>
          <w:rFonts w:asciiTheme="minorHAnsi" w:hAnsiTheme="minorHAnsi" w:cstheme="minorHAnsi"/>
          <w:sz w:val="17"/>
          <w:szCs w:val="17"/>
        </w:rPr>
        <w:t>cuarto</w:t>
      </w:r>
      <w:r w:rsidRPr="001045B7">
        <w:rPr>
          <w:rFonts w:asciiTheme="minorHAnsi" w:hAnsiTheme="minorHAnsi" w:cstheme="minorHAnsi"/>
          <w:sz w:val="17"/>
          <w:szCs w:val="17"/>
        </w:rPr>
        <w:t xml:space="preserve"> trimestre 2024 (dos mil veinticuatro).</w:t>
      </w:r>
    </w:p>
    <w:p w14:paraId="78B4EE34" w14:textId="77777777" w:rsidR="00972607" w:rsidRPr="001045B7" w:rsidRDefault="00972607" w:rsidP="00972607">
      <w:pPr>
        <w:spacing w:line="276" w:lineRule="auto"/>
        <w:ind w:left="142" w:hanging="142"/>
        <w:jc w:val="both"/>
        <w:rPr>
          <w:rFonts w:asciiTheme="minorHAnsi" w:hAnsiTheme="minorHAnsi" w:cstheme="minorHAnsi"/>
          <w:sz w:val="17"/>
          <w:szCs w:val="17"/>
        </w:rPr>
      </w:pPr>
    </w:p>
    <w:p w14:paraId="22956876" w14:textId="7DE7F957" w:rsidR="009C739A" w:rsidRPr="001045B7" w:rsidRDefault="00972607" w:rsidP="00972607">
      <w:pPr>
        <w:spacing w:line="276" w:lineRule="auto"/>
        <w:ind w:left="142" w:hanging="142"/>
        <w:jc w:val="both"/>
        <w:rPr>
          <w:rFonts w:asciiTheme="minorHAnsi" w:hAnsiTheme="minorHAnsi" w:cstheme="minorHAnsi"/>
          <w:sz w:val="17"/>
          <w:szCs w:val="17"/>
        </w:rPr>
      </w:pPr>
      <w:r w:rsidRPr="001045B7">
        <w:rPr>
          <w:rFonts w:asciiTheme="minorHAnsi" w:hAnsiTheme="minorHAnsi" w:cstheme="minorHAnsi"/>
          <w:sz w:val="17"/>
          <w:szCs w:val="17"/>
        </w:rPr>
        <w:t xml:space="preserve">De igual manera, se informa la apertura de 56 (cincuenta y seis) cuentas bancarias para la recepción y transferencia de recursos federales al </w:t>
      </w:r>
      <w:r w:rsidR="003D603B" w:rsidRPr="001045B7">
        <w:rPr>
          <w:rFonts w:asciiTheme="minorHAnsi" w:hAnsiTheme="minorHAnsi" w:cstheme="minorHAnsi"/>
          <w:sz w:val="17"/>
          <w:szCs w:val="17"/>
        </w:rPr>
        <w:t>cuarto</w:t>
      </w:r>
      <w:r w:rsidRPr="001045B7">
        <w:rPr>
          <w:rFonts w:asciiTheme="minorHAnsi" w:hAnsiTheme="minorHAnsi" w:cstheme="minorHAnsi"/>
          <w:sz w:val="17"/>
          <w:szCs w:val="17"/>
        </w:rPr>
        <w:t xml:space="preserve"> trimestre 2024 (dos mil veinticuatro).</w:t>
      </w:r>
    </w:p>
    <w:p w14:paraId="7082AA1F" w14:textId="77777777" w:rsidR="00972607" w:rsidRPr="001045B7" w:rsidRDefault="00972607" w:rsidP="00450B56">
      <w:pPr>
        <w:pStyle w:val="Prrafodelista"/>
        <w:spacing w:line="276" w:lineRule="auto"/>
        <w:ind w:left="0"/>
        <w:jc w:val="both"/>
        <w:rPr>
          <w:rFonts w:asciiTheme="minorHAnsi" w:hAnsiTheme="minorHAnsi" w:cstheme="minorHAnsi"/>
          <w:sz w:val="17"/>
          <w:szCs w:val="17"/>
        </w:rPr>
      </w:pPr>
    </w:p>
    <w:p w14:paraId="5CD74702" w14:textId="50232D03"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el tipo, el monto y el plazo de las inversiones temporales, menores a tres meses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6CB057CA" w14:textId="77777777" w:rsidR="00450B56" w:rsidRPr="001045B7" w:rsidRDefault="00450B56" w:rsidP="00450B56">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11440" w:type="dxa"/>
        <w:tblInd w:w="1059" w:type="dxa"/>
        <w:tblCellMar>
          <w:left w:w="70" w:type="dxa"/>
          <w:right w:w="70" w:type="dxa"/>
        </w:tblCellMar>
        <w:tblLook w:val="04A0" w:firstRow="1" w:lastRow="0" w:firstColumn="1" w:lastColumn="0" w:noHBand="0" w:noVBand="1"/>
      </w:tblPr>
      <w:tblGrid>
        <w:gridCol w:w="4900"/>
        <w:gridCol w:w="2180"/>
        <w:gridCol w:w="2180"/>
        <w:gridCol w:w="2180"/>
      </w:tblGrid>
      <w:tr w:rsidR="00450B56" w:rsidRPr="001045B7" w14:paraId="77243A70" w14:textId="77777777" w:rsidTr="00FD2D30">
        <w:trPr>
          <w:trHeight w:val="64"/>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24D63F"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Inversiones financieras hasta tres meses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3BFE16"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8F6B9C"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1FFC70"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Plazo</w:t>
            </w:r>
          </w:p>
        </w:tc>
      </w:tr>
      <w:tr w:rsidR="00834620" w:rsidRPr="001045B7" w14:paraId="1D980A50" w14:textId="77777777" w:rsidTr="00001825">
        <w:trPr>
          <w:trHeight w:val="240"/>
        </w:trPr>
        <w:tc>
          <w:tcPr>
            <w:tcW w:w="4900" w:type="dxa"/>
            <w:tcBorders>
              <w:top w:val="nil"/>
              <w:left w:val="single" w:sz="4" w:space="0" w:color="auto"/>
              <w:bottom w:val="single" w:sz="4" w:space="0" w:color="auto"/>
              <w:right w:val="single" w:sz="4" w:space="0" w:color="auto"/>
            </w:tcBorders>
            <w:shd w:val="clear" w:color="auto" w:fill="auto"/>
          </w:tcPr>
          <w:p w14:paraId="43E2CE27" w14:textId="144BB90B" w:rsidR="00834620" w:rsidRPr="001045B7" w:rsidRDefault="008812C1" w:rsidP="00834620">
            <w:pPr>
              <w:rPr>
                <w:rFonts w:asciiTheme="minorHAnsi" w:hAnsiTheme="minorHAnsi" w:cstheme="minorHAnsi"/>
                <w:sz w:val="17"/>
                <w:szCs w:val="17"/>
              </w:rPr>
            </w:pPr>
            <w:r w:rsidRPr="001045B7">
              <w:rPr>
                <w:rFonts w:asciiTheme="minorHAnsi" w:hAnsiTheme="minorHAnsi" w:cstheme="minorHAnsi"/>
                <w:sz w:val="17"/>
                <w:szCs w:val="17"/>
              </w:rPr>
              <w:t>-</w:t>
            </w:r>
          </w:p>
        </w:tc>
        <w:tc>
          <w:tcPr>
            <w:tcW w:w="2180" w:type="dxa"/>
            <w:tcBorders>
              <w:top w:val="nil"/>
              <w:left w:val="nil"/>
              <w:bottom w:val="single" w:sz="4" w:space="0" w:color="auto"/>
              <w:right w:val="single" w:sz="4" w:space="0" w:color="auto"/>
            </w:tcBorders>
            <w:shd w:val="clear" w:color="auto" w:fill="auto"/>
          </w:tcPr>
          <w:p w14:paraId="6F0B848F" w14:textId="1E7B9A33" w:rsidR="00834620" w:rsidRPr="001045B7" w:rsidRDefault="008812C1" w:rsidP="0083462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auto" w:fill="auto"/>
          </w:tcPr>
          <w:p w14:paraId="27E94C59" w14:textId="49E3081F" w:rsidR="00834620" w:rsidRPr="001045B7" w:rsidRDefault="008812C1" w:rsidP="00834620">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2180" w:type="dxa"/>
            <w:tcBorders>
              <w:top w:val="nil"/>
              <w:left w:val="nil"/>
              <w:bottom w:val="single" w:sz="4" w:space="0" w:color="auto"/>
              <w:right w:val="single" w:sz="4" w:space="0" w:color="auto"/>
            </w:tcBorders>
            <w:shd w:val="clear" w:color="auto" w:fill="auto"/>
          </w:tcPr>
          <w:p w14:paraId="3C22C979" w14:textId="1A3ED349" w:rsidR="00834620" w:rsidRPr="001045B7" w:rsidRDefault="008812C1" w:rsidP="0083462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r>
      <w:tr w:rsidR="00450B56" w:rsidRPr="001045B7" w14:paraId="250DB2FC" w14:textId="77777777" w:rsidTr="00FD2D30">
        <w:trPr>
          <w:trHeight w:val="64"/>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D0735B"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6512A" w14:textId="77777777" w:rsidR="00450B56" w:rsidRPr="001045B7" w:rsidRDefault="00450B56" w:rsidP="00001825">
            <w:pPr>
              <w:jc w:val="center"/>
              <w:rPr>
                <w:rFonts w:asciiTheme="minorHAnsi" w:hAnsiTheme="minorHAnsi" w:cstheme="minorHAnsi"/>
                <w:b/>
                <w:bCs/>
                <w:color w:val="000000"/>
                <w:sz w:val="17"/>
                <w:szCs w:val="17"/>
              </w:rPr>
            </w:pP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46957" w14:textId="084E8DE9" w:rsidR="00450B56" w:rsidRPr="001045B7" w:rsidRDefault="008812C1" w:rsidP="00001825">
            <w:pPr>
              <w:jc w:val="right"/>
              <w:rPr>
                <w:rFonts w:asciiTheme="minorHAnsi" w:hAnsiTheme="minorHAnsi" w:cstheme="minorHAnsi"/>
                <w:b/>
                <w:bCs/>
                <w:color w:val="000000"/>
                <w:sz w:val="17"/>
                <w:szCs w:val="17"/>
              </w:rPr>
            </w:pPr>
            <w:r w:rsidRPr="001045B7">
              <w:rPr>
                <w:rFonts w:asciiTheme="minorHAnsi" w:hAnsiTheme="minorHAnsi" w:cstheme="minorHAnsi"/>
                <w:b/>
                <w:sz w:val="17"/>
                <w:szCs w:val="17"/>
              </w:rPr>
              <w:t>-</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09E11B" w14:textId="77777777" w:rsidR="00450B56" w:rsidRPr="001045B7" w:rsidRDefault="00450B56" w:rsidP="00001825">
            <w:pPr>
              <w:jc w:val="center"/>
              <w:rPr>
                <w:rFonts w:asciiTheme="minorHAnsi" w:hAnsiTheme="minorHAnsi" w:cstheme="minorHAnsi"/>
                <w:b/>
                <w:bCs/>
                <w:color w:val="000000"/>
                <w:sz w:val="17"/>
                <w:szCs w:val="17"/>
              </w:rPr>
            </w:pPr>
          </w:p>
        </w:tc>
      </w:tr>
    </w:tbl>
    <w:p w14:paraId="360D2243" w14:textId="77777777" w:rsidR="00CB13C9" w:rsidRPr="001045B7" w:rsidRDefault="00CB13C9" w:rsidP="00860054">
      <w:pPr>
        <w:pStyle w:val="Prrafodelista"/>
        <w:spacing w:line="276" w:lineRule="auto"/>
        <w:ind w:left="1416"/>
        <w:jc w:val="both"/>
        <w:rPr>
          <w:rFonts w:asciiTheme="minorHAnsi" w:hAnsiTheme="minorHAnsi" w:cstheme="minorHAnsi"/>
          <w:b/>
          <w:sz w:val="17"/>
          <w:szCs w:val="17"/>
        </w:rPr>
      </w:pPr>
    </w:p>
    <w:p w14:paraId="38037D5C" w14:textId="78ED02E4" w:rsidR="00994B1C" w:rsidRPr="001045B7" w:rsidRDefault="00A36A7A" w:rsidP="00A36A7A">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Al </w:t>
      </w:r>
      <w:r w:rsidR="00972607" w:rsidRPr="001045B7">
        <w:rPr>
          <w:rFonts w:asciiTheme="minorHAnsi" w:hAnsiTheme="minorHAnsi" w:cstheme="minorHAnsi"/>
          <w:sz w:val="17"/>
          <w:szCs w:val="17"/>
        </w:rPr>
        <w:t>cuarto</w:t>
      </w:r>
      <w:r w:rsidRPr="001045B7">
        <w:rPr>
          <w:rFonts w:asciiTheme="minorHAnsi" w:hAnsiTheme="minorHAnsi" w:cstheme="minorHAnsi"/>
          <w:sz w:val="17"/>
          <w:szCs w:val="17"/>
        </w:rPr>
        <w:t xml:space="preserve"> trimestre</w:t>
      </w:r>
      <w:r w:rsidR="00EC1E61" w:rsidRPr="001045B7">
        <w:rPr>
          <w:rFonts w:asciiTheme="minorHAnsi" w:hAnsiTheme="minorHAnsi" w:cstheme="minorHAnsi"/>
          <w:sz w:val="17"/>
          <w:szCs w:val="17"/>
        </w:rPr>
        <w:t xml:space="preserve"> del</w:t>
      </w:r>
      <w:r w:rsidRPr="001045B7">
        <w:rPr>
          <w:rFonts w:asciiTheme="minorHAnsi" w:hAnsiTheme="minorHAnsi" w:cstheme="minorHAnsi"/>
          <w:sz w:val="17"/>
          <w:szCs w:val="17"/>
        </w:rPr>
        <w:t xml:space="preserve"> </w:t>
      </w:r>
      <w:r w:rsidR="00EC1E61" w:rsidRPr="001045B7">
        <w:rPr>
          <w:rFonts w:asciiTheme="minorHAnsi" w:hAnsiTheme="minorHAnsi" w:cstheme="minorHAnsi"/>
          <w:sz w:val="17"/>
          <w:szCs w:val="17"/>
        </w:rPr>
        <w:t xml:space="preserve">ejercicio fiscal </w:t>
      </w:r>
      <w:r w:rsidRPr="001045B7">
        <w:rPr>
          <w:rFonts w:asciiTheme="minorHAnsi" w:hAnsiTheme="minorHAnsi" w:cstheme="minorHAnsi"/>
          <w:sz w:val="17"/>
          <w:szCs w:val="17"/>
        </w:rPr>
        <w:t>2024, no se realizó inversión menor a tres meses.</w:t>
      </w:r>
    </w:p>
    <w:p w14:paraId="3BF386E4" w14:textId="510CB4B1"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Derechos a recibir Efectivo y Equivalentes y Bienes o Servicios</w:t>
      </w:r>
    </w:p>
    <w:p w14:paraId="124AD140" w14:textId="70C4591C" w:rsidR="00450B56" w:rsidRPr="001045B7" w:rsidRDefault="00450B56" w:rsidP="00450B56">
      <w:pPr>
        <w:pStyle w:val="Prrafodelista"/>
        <w:spacing w:line="276" w:lineRule="auto"/>
        <w:ind w:left="0"/>
        <w:jc w:val="both"/>
        <w:rPr>
          <w:rFonts w:asciiTheme="minorHAnsi" w:hAnsiTheme="minorHAnsi" w:cstheme="minorHAnsi"/>
          <w:b/>
          <w:sz w:val="17"/>
          <w:szCs w:val="17"/>
        </w:rPr>
      </w:pPr>
    </w:p>
    <w:p w14:paraId="47D6AC7B" w14:textId="51F9B96B"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En este apartado se da a conocer la integración del rubro Derechos a Recibir Efectivo o Equivalentes del Poder Ejecutivo del Estado de Querétaro:</w:t>
      </w:r>
    </w:p>
    <w:p w14:paraId="3B2049C3" w14:textId="77777777" w:rsidR="00450B56" w:rsidRPr="001045B7" w:rsidRDefault="00450B56" w:rsidP="00450B56">
      <w:pPr>
        <w:pStyle w:val="Prrafodelista"/>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9994" w:type="dxa"/>
        <w:tblInd w:w="1413" w:type="dxa"/>
        <w:tblCellMar>
          <w:left w:w="70" w:type="dxa"/>
          <w:right w:w="70" w:type="dxa"/>
        </w:tblCellMar>
        <w:tblLook w:val="04A0" w:firstRow="1" w:lastRow="0" w:firstColumn="1" w:lastColumn="0" w:noHBand="0" w:noVBand="1"/>
      </w:tblPr>
      <w:tblGrid>
        <w:gridCol w:w="5634"/>
        <w:gridCol w:w="2180"/>
        <w:gridCol w:w="2180"/>
      </w:tblGrid>
      <w:tr w:rsidR="00450B56" w:rsidRPr="001045B7" w14:paraId="17DD09B5"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A82D9"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3AA3D5" w14:textId="7903EA6A"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AC1CE3" w14:textId="4849BBE7"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1271CC" w:rsidRPr="001045B7" w14:paraId="16A85F6E"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5CA250C"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14:paraId="06FBEAFF" w14:textId="235A81C0"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0972DD81" w14:textId="76376068"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34F6E11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461AFF7"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42A868A1" w14:textId="06D08D81"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48,508 </w:t>
            </w:r>
          </w:p>
        </w:tc>
        <w:tc>
          <w:tcPr>
            <w:tcW w:w="2180" w:type="dxa"/>
            <w:tcBorders>
              <w:top w:val="single" w:sz="4" w:space="0" w:color="auto"/>
              <w:left w:val="nil"/>
              <w:bottom w:val="single" w:sz="4" w:space="0" w:color="auto"/>
              <w:right w:val="single" w:sz="4" w:space="0" w:color="auto"/>
            </w:tcBorders>
            <w:shd w:val="clear" w:color="auto" w:fill="auto"/>
          </w:tcPr>
          <w:p w14:paraId="51C2B06B" w14:textId="3AFE2134"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138,046 </w:t>
            </w:r>
          </w:p>
        </w:tc>
      </w:tr>
      <w:tr w:rsidR="001271CC" w:rsidRPr="001045B7" w14:paraId="6701F600"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7E2648F4"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1DC9C6C8" w14:textId="0D72DC50"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720,384 </w:t>
            </w:r>
          </w:p>
        </w:tc>
        <w:tc>
          <w:tcPr>
            <w:tcW w:w="2180" w:type="dxa"/>
            <w:tcBorders>
              <w:top w:val="single" w:sz="4" w:space="0" w:color="auto"/>
              <w:left w:val="nil"/>
              <w:bottom w:val="single" w:sz="4" w:space="0" w:color="auto"/>
              <w:right w:val="single" w:sz="4" w:space="0" w:color="auto"/>
            </w:tcBorders>
            <w:shd w:val="clear" w:color="auto" w:fill="auto"/>
          </w:tcPr>
          <w:p w14:paraId="60DBB029" w14:textId="1CA34E01"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3,000 </w:t>
            </w:r>
          </w:p>
        </w:tc>
      </w:tr>
      <w:tr w:rsidR="001271CC" w:rsidRPr="001045B7" w14:paraId="586774F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147476C"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14:paraId="368BE9E1" w14:textId="1A8AC6DA"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4,182,761 </w:t>
            </w:r>
          </w:p>
        </w:tc>
        <w:tc>
          <w:tcPr>
            <w:tcW w:w="2180" w:type="dxa"/>
            <w:tcBorders>
              <w:top w:val="single" w:sz="4" w:space="0" w:color="auto"/>
              <w:left w:val="nil"/>
              <w:bottom w:val="single" w:sz="4" w:space="0" w:color="auto"/>
              <w:right w:val="single" w:sz="4" w:space="0" w:color="auto"/>
            </w:tcBorders>
            <w:shd w:val="clear" w:color="auto" w:fill="auto"/>
          </w:tcPr>
          <w:p w14:paraId="309828F1" w14:textId="3CD5C75A"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5,058,728 </w:t>
            </w:r>
          </w:p>
        </w:tc>
      </w:tr>
      <w:tr w:rsidR="001271CC" w:rsidRPr="001045B7" w14:paraId="563F9B0C"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3FF62FB"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14:paraId="4784E796" w14:textId="6F431F08"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50B54C5E" w14:textId="12C6FFED"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05F17C7F"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612C0096"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Préstamos Otorgados a Corto Plazo</w:t>
            </w:r>
          </w:p>
        </w:tc>
        <w:tc>
          <w:tcPr>
            <w:tcW w:w="2180" w:type="dxa"/>
            <w:tcBorders>
              <w:top w:val="single" w:sz="4" w:space="0" w:color="auto"/>
              <w:left w:val="nil"/>
              <w:bottom w:val="single" w:sz="4" w:space="0" w:color="auto"/>
              <w:right w:val="single" w:sz="4" w:space="0" w:color="auto"/>
            </w:tcBorders>
            <w:shd w:val="clear" w:color="auto" w:fill="auto"/>
          </w:tcPr>
          <w:p w14:paraId="701F638A" w14:textId="0DDC04DF"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7F3A984B" w14:textId="1F1621F3"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42F1DB7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C41C25F" w14:textId="77777777" w:rsidR="001271CC" w:rsidRPr="001045B7" w:rsidRDefault="001271CC" w:rsidP="001271CC">
            <w:pPr>
              <w:rPr>
                <w:rFonts w:asciiTheme="minorHAnsi" w:hAnsiTheme="minorHAnsi" w:cstheme="minorHAnsi"/>
                <w:sz w:val="17"/>
                <w:szCs w:val="17"/>
              </w:rPr>
            </w:pPr>
            <w:r w:rsidRPr="001045B7">
              <w:rPr>
                <w:rFonts w:asciiTheme="minorHAnsi" w:hAnsiTheme="minorHAnsi" w:cstheme="minorHAnsi"/>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14:paraId="21CA6CC3" w14:textId="241D6F03"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6DBB3BCB" w14:textId="4B966A96" w:rsidR="001271CC" w:rsidRPr="001045B7" w:rsidRDefault="001271CC" w:rsidP="001271C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271CC" w:rsidRPr="001045B7" w14:paraId="6BBE5812"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7D8D31" w14:textId="77777777" w:rsidR="001271CC" w:rsidRPr="001045B7" w:rsidRDefault="001271CC" w:rsidP="001271CC">
            <w:pPr>
              <w:ind w:right="-567"/>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129E81A5" w14:textId="313B071F" w:rsidR="001271CC" w:rsidRPr="001045B7" w:rsidRDefault="001271CC"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4,951,653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E05F8C" w14:textId="7AC6FBC6" w:rsidR="001271CC" w:rsidRPr="001045B7" w:rsidRDefault="001271CC" w:rsidP="001271C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5,199,774 </w:t>
            </w:r>
          </w:p>
        </w:tc>
      </w:tr>
    </w:tbl>
    <w:p w14:paraId="3E3FD313" w14:textId="61D9DCE1" w:rsidR="00450B56" w:rsidRPr="001045B7" w:rsidRDefault="00450B56" w:rsidP="00450B56">
      <w:pPr>
        <w:pStyle w:val="Prrafodelista"/>
        <w:spacing w:line="276" w:lineRule="auto"/>
        <w:ind w:left="0"/>
        <w:jc w:val="both"/>
        <w:rPr>
          <w:rFonts w:asciiTheme="minorHAnsi" w:hAnsiTheme="minorHAnsi" w:cstheme="minorHAnsi"/>
          <w:sz w:val="17"/>
          <w:szCs w:val="17"/>
        </w:rPr>
      </w:pPr>
    </w:p>
    <w:p w14:paraId="7DFB8EE2" w14:textId="43B20D48"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El saldo que se presenta en Ingresos por Recuperar a Corto Plazo deriva principalmente del registro de la recaudación realizada por la Cadena comercial OXXO, SUPER Q, ANTAD y </w:t>
      </w:r>
      <w:proofErr w:type="spellStart"/>
      <w:r w:rsidRPr="001045B7">
        <w:rPr>
          <w:rFonts w:asciiTheme="minorHAnsi" w:hAnsiTheme="minorHAnsi" w:cstheme="minorHAnsi"/>
          <w:sz w:val="17"/>
          <w:szCs w:val="17"/>
        </w:rPr>
        <w:t>Multipagos</w:t>
      </w:r>
      <w:proofErr w:type="spellEnd"/>
      <w:r w:rsidRPr="001045B7">
        <w:rPr>
          <w:rFonts w:asciiTheme="minorHAnsi" w:hAnsiTheme="minorHAnsi" w:cstheme="minorHAnsi"/>
          <w:sz w:val="17"/>
          <w:szCs w:val="17"/>
        </w:rPr>
        <w:t xml:space="preserve"> BBVA, </w:t>
      </w:r>
      <w:r w:rsidR="00F01281" w:rsidRPr="001045B7">
        <w:rPr>
          <w:rFonts w:asciiTheme="minorHAnsi" w:hAnsiTheme="minorHAnsi" w:cstheme="minorHAnsi"/>
          <w:sz w:val="17"/>
          <w:szCs w:val="17"/>
        </w:rPr>
        <w:t>el</w:t>
      </w:r>
      <w:r w:rsidRPr="001045B7">
        <w:rPr>
          <w:rFonts w:asciiTheme="minorHAnsi" w:hAnsiTheme="minorHAnsi" w:cstheme="minorHAnsi"/>
          <w:sz w:val="17"/>
          <w:szCs w:val="17"/>
        </w:rPr>
        <w:t xml:space="preserve"> cual </w:t>
      </w:r>
      <w:r w:rsidR="002D539E" w:rsidRPr="001045B7">
        <w:rPr>
          <w:rFonts w:asciiTheme="minorHAnsi" w:hAnsiTheme="minorHAnsi" w:cstheme="minorHAnsi"/>
          <w:sz w:val="17"/>
          <w:szCs w:val="17"/>
        </w:rPr>
        <w:t xml:space="preserve">se depositará en el mes de </w:t>
      </w:r>
      <w:r w:rsidR="00685E54" w:rsidRPr="001045B7">
        <w:rPr>
          <w:rFonts w:asciiTheme="minorHAnsi" w:hAnsiTheme="minorHAnsi" w:cstheme="minorHAnsi"/>
          <w:sz w:val="17"/>
          <w:szCs w:val="17"/>
        </w:rPr>
        <w:t>enero</w:t>
      </w:r>
      <w:r w:rsidRPr="001045B7">
        <w:rPr>
          <w:rFonts w:asciiTheme="minorHAnsi" w:hAnsiTheme="minorHAnsi" w:cstheme="minorHAnsi"/>
          <w:sz w:val="17"/>
          <w:szCs w:val="17"/>
        </w:rPr>
        <w:t xml:space="preserve"> en términos de</w:t>
      </w:r>
      <w:r w:rsidR="00FB7E57" w:rsidRPr="001045B7">
        <w:rPr>
          <w:rFonts w:asciiTheme="minorHAnsi" w:hAnsiTheme="minorHAnsi" w:cstheme="minorHAnsi"/>
          <w:sz w:val="17"/>
          <w:szCs w:val="17"/>
        </w:rPr>
        <w:t xml:space="preserve"> </w:t>
      </w:r>
      <w:r w:rsidRPr="001045B7">
        <w:rPr>
          <w:rFonts w:asciiTheme="minorHAnsi" w:hAnsiTheme="minorHAnsi" w:cstheme="minorHAnsi"/>
          <w:sz w:val="17"/>
          <w:szCs w:val="17"/>
        </w:rPr>
        <w:t>l</w:t>
      </w:r>
      <w:r w:rsidR="00FB7E57" w:rsidRPr="001045B7">
        <w:rPr>
          <w:rFonts w:asciiTheme="minorHAnsi" w:hAnsiTheme="minorHAnsi" w:cstheme="minorHAnsi"/>
          <w:sz w:val="17"/>
          <w:szCs w:val="17"/>
        </w:rPr>
        <w:t>os</w:t>
      </w:r>
      <w:r w:rsidRPr="001045B7">
        <w:rPr>
          <w:rFonts w:asciiTheme="minorHAnsi" w:hAnsiTheme="minorHAnsi" w:cstheme="minorHAnsi"/>
          <w:sz w:val="17"/>
          <w:szCs w:val="17"/>
        </w:rPr>
        <w:t xml:space="preserve"> contrato</w:t>
      </w:r>
      <w:r w:rsidR="00FB7E57" w:rsidRPr="001045B7">
        <w:rPr>
          <w:rFonts w:asciiTheme="minorHAnsi" w:hAnsiTheme="minorHAnsi" w:cstheme="minorHAnsi"/>
          <w:sz w:val="17"/>
          <w:szCs w:val="17"/>
        </w:rPr>
        <w:t>s</w:t>
      </w:r>
      <w:r w:rsidRPr="001045B7">
        <w:rPr>
          <w:rFonts w:asciiTheme="minorHAnsi" w:hAnsiTheme="minorHAnsi" w:cstheme="minorHAnsi"/>
          <w:sz w:val="17"/>
          <w:szCs w:val="17"/>
        </w:rPr>
        <w:t xml:space="preserve"> de prestación de servicios de Administración Financiera y Tributaria celebrados con dichas empresas.</w:t>
      </w:r>
    </w:p>
    <w:p w14:paraId="42A86A3B" w14:textId="77777777" w:rsidR="00EC5D06" w:rsidRPr="001045B7" w:rsidRDefault="00EC5D06" w:rsidP="00450B56">
      <w:pPr>
        <w:pStyle w:val="Prrafodelista"/>
        <w:spacing w:line="276" w:lineRule="auto"/>
        <w:ind w:left="0"/>
        <w:jc w:val="both"/>
        <w:rPr>
          <w:rFonts w:asciiTheme="minorHAnsi" w:hAnsiTheme="minorHAnsi" w:cstheme="minorHAnsi"/>
          <w:sz w:val="17"/>
          <w:szCs w:val="17"/>
        </w:rPr>
      </w:pPr>
    </w:p>
    <w:p w14:paraId="51D6CD2B" w14:textId="4C4524F8" w:rsidR="00C15211"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En este apartado se informa la integración del rubro Derechos a recibir bienes o servicios del Poder Ejecutivo del Estado de Querétaro:</w:t>
      </w:r>
    </w:p>
    <w:p w14:paraId="6EFDED4B" w14:textId="77777777" w:rsidR="00450B56" w:rsidRPr="001045B7" w:rsidRDefault="00450B56" w:rsidP="00450B56">
      <w:pPr>
        <w:spacing w:before="80" w:line="250" w:lineRule="exact"/>
        <w:ind w:left="709"/>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450B56" w:rsidRPr="001045B7" w14:paraId="36A17BDE"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54D89"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FC3AD6" w14:textId="3A9F9C1B"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6A1B2E" w14:textId="3E91A04D"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722E94" w:rsidRPr="001045B7" w14:paraId="4E08EE99"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6C19CA6A"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14:paraId="34772B63" w14:textId="6B2D9372"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41,011,142 </w:t>
            </w:r>
          </w:p>
        </w:tc>
        <w:tc>
          <w:tcPr>
            <w:tcW w:w="2180" w:type="dxa"/>
            <w:tcBorders>
              <w:top w:val="single" w:sz="4" w:space="0" w:color="auto"/>
              <w:left w:val="nil"/>
              <w:bottom w:val="single" w:sz="4" w:space="0" w:color="auto"/>
              <w:right w:val="single" w:sz="4" w:space="0" w:color="auto"/>
            </w:tcBorders>
            <w:shd w:val="clear" w:color="auto" w:fill="auto"/>
          </w:tcPr>
          <w:p w14:paraId="5AC83793" w14:textId="60C561AA"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276,804,824 </w:t>
            </w:r>
          </w:p>
        </w:tc>
      </w:tr>
    </w:tbl>
    <w:p w14:paraId="65AC14AC" w14:textId="77777777" w:rsidR="00C60AF7" w:rsidRPr="001045B7" w:rsidRDefault="00C60AF7" w:rsidP="00450B56">
      <w:pPr>
        <w:pStyle w:val="Prrafodelista"/>
        <w:spacing w:line="276" w:lineRule="auto"/>
        <w:ind w:left="0"/>
        <w:jc w:val="both"/>
        <w:rPr>
          <w:rFonts w:asciiTheme="minorHAnsi" w:hAnsiTheme="minorHAnsi" w:cstheme="minorHAnsi"/>
          <w:sz w:val="17"/>
          <w:szCs w:val="17"/>
        </w:rPr>
      </w:pPr>
    </w:p>
    <w:p w14:paraId="114CF4D6" w14:textId="22EEBF86" w:rsidR="00450B56" w:rsidRPr="001045B7" w:rsidRDefault="00450B56" w:rsidP="00780BD1">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El saldo que se presenta en la cuenta de Anticipo a Contratistas por Obras Públicas a Corto Plazo corresponde principalmente a los anticipos de las siguientes obras:</w:t>
      </w:r>
    </w:p>
    <w:tbl>
      <w:tblPr>
        <w:tblpPr w:leftFromText="141" w:rightFromText="141" w:vertAnchor="text" w:horzAnchor="page" w:tblpXSpec="center" w:tblpY="172"/>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50"/>
        <w:gridCol w:w="1276"/>
      </w:tblGrid>
      <w:tr w:rsidR="00172F9E" w:rsidRPr="001045B7" w14:paraId="178C4812" w14:textId="77777777" w:rsidTr="005B5D66">
        <w:trPr>
          <w:trHeight w:val="60"/>
        </w:trPr>
        <w:tc>
          <w:tcPr>
            <w:tcW w:w="9650" w:type="dxa"/>
            <w:shd w:val="clear" w:color="auto" w:fill="BFBFBF" w:themeFill="background1" w:themeFillShade="BF"/>
            <w:noWrap/>
          </w:tcPr>
          <w:p w14:paraId="2C7DBBB1" w14:textId="62E57789" w:rsidR="00172F9E" w:rsidRPr="001045B7" w:rsidRDefault="00172F9E" w:rsidP="00172F9E">
            <w:pPr>
              <w:jc w:val="center"/>
              <w:rPr>
                <w:rFonts w:asciiTheme="minorHAnsi" w:hAnsiTheme="minorHAnsi" w:cstheme="minorHAnsi"/>
                <w:b/>
                <w:sz w:val="17"/>
                <w:szCs w:val="17"/>
              </w:rPr>
            </w:pPr>
            <w:r w:rsidRPr="001045B7">
              <w:rPr>
                <w:rFonts w:asciiTheme="minorHAnsi" w:hAnsiTheme="minorHAnsi" w:cstheme="minorHAnsi"/>
                <w:b/>
                <w:sz w:val="17"/>
                <w:szCs w:val="17"/>
              </w:rPr>
              <w:t>Obra</w:t>
            </w:r>
          </w:p>
        </w:tc>
        <w:tc>
          <w:tcPr>
            <w:tcW w:w="1276" w:type="dxa"/>
            <w:shd w:val="clear" w:color="auto" w:fill="BFBFBF" w:themeFill="background1" w:themeFillShade="BF"/>
            <w:noWrap/>
          </w:tcPr>
          <w:p w14:paraId="6E96501D" w14:textId="72F378DA" w:rsidR="00172F9E" w:rsidRPr="001045B7" w:rsidRDefault="00172F9E" w:rsidP="00172F9E">
            <w:pPr>
              <w:jc w:val="center"/>
              <w:rPr>
                <w:rFonts w:asciiTheme="minorHAnsi" w:hAnsiTheme="minorHAnsi" w:cstheme="minorHAnsi"/>
                <w:b/>
                <w:sz w:val="17"/>
                <w:szCs w:val="17"/>
              </w:rPr>
            </w:pPr>
            <w:r w:rsidRPr="001045B7">
              <w:rPr>
                <w:rFonts w:asciiTheme="minorHAnsi" w:hAnsiTheme="minorHAnsi" w:cstheme="minorHAnsi"/>
                <w:b/>
                <w:sz w:val="17"/>
                <w:szCs w:val="17"/>
              </w:rPr>
              <w:t>Monto</w:t>
            </w:r>
          </w:p>
        </w:tc>
      </w:tr>
      <w:tr w:rsidR="00197828" w:rsidRPr="001045B7" w14:paraId="0589535C" w14:textId="77777777" w:rsidTr="005B5D66">
        <w:trPr>
          <w:trHeight w:val="60"/>
        </w:trPr>
        <w:tc>
          <w:tcPr>
            <w:tcW w:w="9650" w:type="dxa"/>
            <w:shd w:val="clear" w:color="auto" w:fill="auto"/>
            <w:noWrap/>
          </w:tcPr>
          <w:p w14:paraId="19050948" w14:textId="3CD7A58F"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Construcción de patio de maniobras para la </w:t>
            </w:r>
            <w:r w:rsidR="000C2127" w:rsidRPr="001045B7">
              <w:rPr>
                <w:rFonts w:asciiTheme="minorHAnsi" w:hAnsiTheme="minorHAnsi" w:cstheme="minorHAnsi"/>
                <w:sz w:val="17"/>
                <w:szCs w:val="17"/>
              </w:rPr>
              <w:t>A</w:t>
            </w:r>
            <w:r w:rsidRPr="001045B7">
              <w:rPr>
                <w:rFonts w:asciiTheme="minorHAnsi" w:hAnsiTheme="minorHAnsi" w:cstheme="minorHAnsi"/>
                <w:sz w:val="17"/>
                <w:szCs w:val="17"/>
              </w:rPr>
              <w:t xml:space="preserve">gencia de </w:t>
            </w:r>
            <w:r w:rsidR="000C2127" w:rsidRPr="001045B7">
              <w:rPr>
                <w:rFonts w:asciiTheme="minorHAnsi" w:hAnsiTheme="minorHAnsi" w:cstheme="minorHAnsi"/>
                <w:sz w:val="17"/>
                <w:szCs w:val="17"/>
              </w:rPr>
              <w:t>M</w:t>
            </w:r>
            <w:r w:rsidRPr="001045B7">
              <w:rPr>
                <w:rFonts w:asciiTheme="minorHAnsi" w:hAnsiTheme="minorHAnsi" w:cstheme="minorHAnsi"/>
                <w:sz w:val="17"/>
                <w:szCs w:val="17"/>
              </w:rPr>
              <w:t xml:space="preserve">ovilidad del </w:t>
            </w:r>
            <w:r w:rsidR="000C2127" w:rsidRPr="001045B7">
              <w:rPr>
                <w:rFonts w:asciiTheme="minorHAnsi" w:hAnsiTheme="minorHAnsi" w:cstheme="minorHAnsi"/>
                <w:sz w:val="17"/>
                <w:szCs w:val="17"/>
              </w:rPr>
              <w:t>E</w:t>
            </w:r>
            <w:r w:rsidRPr="001045B7">
              <w:rPr>
                <w:rFonts w:asciiTheme="minorHAnsi" w:hAnsiTheme="minorHAnsi" w:cstheme="minorHAnsi"/>
                <w:sz w:val="17"/>
                <w:szCs w:val="17"/>
              </w:rPr>
              <w:t xml:space="preserve">stado de </w:t>
            </w:r>
            <w:r w:rsidR="000C2127"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r w:rsidR="000C2127" w:rsidRPr="001045B7">
              <w:rPr>
                <w:rFonts w:asciiTheme="minorHAnsi" w:hAnsiTheme="minorHAnsi" w:cstheme="minorHAnsi"/>
                <w:sz w:val="17"/>
                <w:szCs w:val="17"/>
              </w:rPr>
              <w:t>B</w:t>
            </w:r>
            <w:r w:rsidRPr="001045B7">
              <w:rPr>
                <w:rFonts w:asciiTheme="minorHAnsi" w:hAnsiTheme="minorHAnsi" w:cstheme="minorHAnsi"/>
                <w:sz w:val="17"/>
                <w:szCs w:val="17"/>
              </w:rPr>
              <w:t xml:space="preserve">oulevard de la </w:t>
            </w:r>
            <w:r w:rsidR="000C2127" w:rsidRPr="001045B7">
              <w:rPr>
                <w:rFonts w:asciiTheme="minorHAnsi" w:hAnsiTheme="minorHAnsi" w:cstheme="minorHAnsi"/>
                <w:sz w:val="17"/>
                <w:szCs w:val="17"/>
              </w:rPr>
              <w:t>N</w:t>
            </w:r>
            <w:r w:rsidRPr="001045B7">
              <w:rPr>
                <w:rFonts w:asciiTheme="minorHAnsi" w:hAnsiTheme="minorHAnsi" w:cstheme="minorHAnsi"/>
                <w:sz w:val="17"/>
                <w:szCs w:val="17"/>
              </w:rPr>
              <w:t xml:space="preserve">ación zona centro norte, </w:t>
            </w:r>
            <w:r w:rsidR="000C2127" w:rsidRPr="001045B7">
              <w:rPr>
                <w:rFonts w:asciiTheme="minorHAnsi" w:hAnsiTheme="minorHAnsi" w:cstheme="minorHAnsi"/>
                <w:sz w:val="17"/>
                <w:szCs w:val="17"/>
              </w:rPr>
              <w:t>M</w:t>
            </w:r>
            <w:r w:rsidRPr="001045B7">
              <w:rPr>
                <w:rFonts w:asciiTheme="minorHAnsi" w:hAnsiTheme="minorHAnsi" w:cstheme="minorHAnsi"/>
                <w:sz w:val="17"/>
                <w:szCs w:val="17"/>
              </w:rPr>
              <w:t xml:space="preserve">unicipio de </w:t>
            </w:r>
            <w:r w:rsidR="000C2127"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0C2127"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(asfalto, residuos, construcciones, etapa 4)</w:t>
            </w:r>
          </w:p>
        </w:tc>
        <w:tc>
          <w:tcPr>
            <w:tcW w:w="1276" w:type="dxa"/>
            <w:shd w:val="clear" w:color="auto" w:fill="auto"/>
            <w:noWrap/>
          </w:tcPr>
          <w:p w14:paraId="7141D4B0" w14:textId="50303FDD"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19,709,244</w:t>
            </w:r>
          </w:p>
        </w:tc>
      </w:tr>
      <w:tr w:rsidR="00197828" w:rsidRPr="001045B7" w14:paraId="0D448CC7" w14:textId="77777777" w:rsidTr="005B5D66">
        <w:trPr>
          <w:trHeight w:val="115"/>
        </w:trPr>
        <w:tc>
          <w:tcPr>
            <w:tcW w:w="9650" w:type="dxa"/>
            <w:shd w:val="clear" w:color="auto" w:fill="auto"/>
            <w:noWrap/>
          </w:tcPr>
          <w:p w14:paraId="004FA7CC" w14:textId="217E583D"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Mantenimiento de pista en estadio olímpico </w:t>
            </w:r>
            <w:r w:rsidR="000C2127" w:rsidRPr="001045B7">
              <w:rPr>
                <w:rFonts w:asciiTheme="minorHAnsi" w:hAnsiTheme="minorHAnsi" w:cstheme="minorHAnsi"/>
                <w:sz w:val="17"/>
                <w:szCs w:val="17"/>
              </w:rPr>
              <w:t>Q</w:t>
            </w:r>
            <w:r w:rsidRPr="001045B7">
              <w:rPr>
                <w:rFonts w:asciiTheme="minorHAnsi" w:hAnsiTheme="minorHAnsi" w:cstheme="minorHAnsi"/>
                <w:sz w:val="17"/>
                <w:szCs w:val="17"/>
              </w:rPr>
              <w:t>uerétaro</w:t>
            </w:r>
          </w:p>
        </w:tc>
        <w:tc>
          <w:tcPr>
            <w:tcW w:w="1276" w:type="dxa"/>
            <w:shd w:val="clear" w:color="auto" w:fill="auto"/>
            <w:noWrap/>
          </w:tcPr>
          <w:p w14:paraId="0AE4F981" w14:textId="301B6607"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5,243,538</w:t>
            </w:r>
          </w:p>
        </w:tc>
      </w:tr>
      <w:tr w:rsidR="00197828" w:rsidRPr="001045B7" w14:paraId="4B93CDD9" w14:textId="77777777" w:rsidTr="005B5D66">
        <w:trPr>
          <w:trHeight w:val="146"/>
        </w:trPr>
        <w:tc>
          <w:tcPr>
            <w:tcW w:w="9650" w:type="dxa"/>
            <w:shd w:val="clear" w:color="auto" w:fill="auto"/>
            <w:noWrap/>
          </w:tcPr>
          <w:p w14:paraId="19D97804" w14:textId="3D968DD9"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Construcción de espacios públicos urbano y de paisaje en paseo 5 de febrero en los entronques de </w:t>
            </w:r>
            <w:r w:rsidR="000C2127" w:rsidRPr="001045B7">
              <w:rPr>
                <w:rFonts w:asciiTheme="minorHAnsi" w:hAnsiTheme="minorHAnsi" w:cstheme="minorHAnsi"/>
                <w:sz w:val="17"/>
                <w:szCs w:val="17"/>
              </w:rPr>
              <w:t>Z</w:t>
            </w:r>
            <w:r w:rsidRPr="001045B7">
              <w:rPr>
                <w:rFonts w:asciiTheme="minorHAnsi" w:hAnsiTheme="minorHAnsi" w:cstheme="minorHAnsi"/>
                <w:sz w:val="17"/>
                <w:szCs w:val="17"/>
              </w:rPr>
              <w:t>aragoza,</w:t>
            </w:r>
            <w:r w:rsidR="000C2127" w:rsidRPr="001045B7">
              <w:rPr>
                <w:rFonts w:asciiTheme="minorHAnsi" w:hAnsiTheme="minorHAnsi" w:cstheme="minorHAnsi"/>
                <w:sz w:val="17"/>
                <w:szCs w:val="17"/>
              </w:rPr>
              <w:t xml:space="preserve"> T</w:t>
            </w:r>
            <w:r w:rsidRPr="001045B7">
              <w:rPr>
                <w:rFonts w:asciiTheme="minorHAnsi" w:hAnsiTheme="minorHAnsi" w:cstheme="minorHAnsi"/>
                <w:sz w:val="17"/>
                <w:szCs w:val="17"/>
              </w:rPr>
              <w:t xml:space="preserve">lacote, </w:t>
            </w:r>
            <w:r w:rsidR="000C2127" w:rsidRPr="001045B7">
              <w:rPr>
                <w:rFonts w:asciiTheme="minorHAnsi" w:hAnsiTheme="minorHAnsi" w:cstheme="minorHAnsi"/>
                <w:sz w:val="17"/>
                <w:szCs w:val="17"/>
              </w:rPr>
              <w:t>U</w:t>
            </w:r>
            <w:r w:rsidRPr="001045B7">
              <w:rPr>
                <w:rFonts w:asciiTheme="minorHAnsi" w:hAnsiTheme="minorHAnsi" w:cstheme="minorHAnsi"/>
                <w:sz w:val="17"/>
                <w:szCs w:val="17"/>
              </w:rPr>
              <w:t xml:space="preserve">niversidad, </w:t>
            </w:r>
            <w:r w:rsidR="000C2127" w:rsidRPr="001045B7">
              <w:rPr>
                <w:rFonts w:asciiTheme="minorHAnsi" w:hAnsiTheme="minorHAnsi" w:cstheme="minorHAnsi"/>
                <w:sz w:val="17"/>
                <w:szCs w:val="17"/>
              </w:rPr>
              <w:t>E</w:t>
            </w:r>
            <w:r w:rsidRPr="001045B7">
              <w:rPr>
                <w:rFonts w:asciiTheme="minorHAnsi" w:hAnsiTheme="minorHAnsi" w:cstheme="minorHAnsi"/>
                <w:sz w:val="17"/>
                <w:szCs w:val="17"/>
              </w:rPr>
              <w:t xml:space="preserve">pigmenio </w:t>
            </w:r>
            <w:r w:rsidR="000C2127" w:rsidRPr="001045B7">
              <w:rPr>
                <w:rFonts w:asciiTheme="minorHAnsi" w:hAnsiTheme="minorHAnsi" w:cstheme="minorHAnsi"/>
                <w:sz w:val="17"/>
                <w:szCs w:val="17"/>
              </w:rPr>
              <w:t>G</w:t>
            </w:r>
            <w:r w:rsidRPr="001045B7">
              <w:rPr>
                <w:rFonts w:asciiTheme="minorHAnsi" w:hAnsiTheme="minorHAnsi" w:cstheme="minorHAnsi"/>
                <w:sz w:val="17"/>
                <w:szCs w:val="17"/>
              </w:rPr>
              <w:t>onzález y la obrera.</w:t>
            </w:r>
          </w:p>
        </w:tc>
        <w:tc>
          <w:tcPr>
            <w:tcW w:w="1276" w:type="dxa"/>
            <w:shd w:val="clear" w:color="auto" w:fill="auto"/>
            <w:noWrap/>
          </w:tcPr>
          <w:p w14:paraId="46DDF1D8" w14:textId="45F5C21B"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4,991,928</w:t>
            </w:r>
          </w:p>
        </w:tc>
      </w:tr>
      <w:tr w:rsidR="00197828" w:rsidRPr="001045B7" w14:paraId="0E4E8543" w14:textId="77777777" w:rsidTr="005B5D66">
        <w:trPr>
          <w:trHeight w:val="67"/>
        </w:trPr>
        <w:tc>
          <w:tcPr>
            <w:tcW w:w="9650" w:type="dxa"/>
            <w:shd w:val="clear" w:color="auto" w:fill="auto"/>
            <w:noWrap/>
          </w:tcPr>
          <w:p w14:paraId="004CEAA2" w14:textId="55B636AB"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Construcción de </w:t>
            </w:r>
            <w:proofErr w:type="spellStart"/>
            <w:r w:rsidRPr="001045B7">
              <w:rPr>
                <w:rFonts w:asciiTheme="minorHAnsi" w:hAnsiTheme="minorHAnsi" w:cstheme="minorHAnsi"/>
                <w:sz w:val="17"/>
                <w:szCs w:val="17"/>
              </w:rPr>
              <w:t>subcomandancia</w:t>
            </w:r>
            <w:proofErr w:type="spellEnd"/>
            <w:r w:rsidRPr="001045B7">
              <w:rPr>
                <w:rFonts w:asciiTheme="minorHAnsi" w:hAnsiTheme="minorHAnsi" w:cstheme="minorHAnsi"/>
                <w:sz w:val="17"/>
                <w:szCs w:val="17"/>
              </w:rPr>
              <w:t xml:space="preserve"> de seguridad pública municipal </w:t>
            </w:r>
            <w:proofErr w:type="spellStart"/>
            <w:r w:rsidRPr="001045B7">
              <w:rPr>
                <w:rFonts w:asciiTheme="minorHAnsi" w:hAnsiTheme="minorHAnsi" w:cstheme="minorHAnsi"/>
                <w:sz w:val="17"/>
                <w:szCs w:val="17"/>
              </w:rPr>
              <w:t>c2</w:t>
            </w:r>
            <w:proofErr w:type="spellEnd"/>
            <w:r w:rsidRPr="001045B7">
              <w:rPr>
                <w:rFonts w:asciiTheme="minorHAnsi" w:hAnsiTheme="minorHAnsi" w:cstheme="minorHAnsi"/>
                <w:sz w:val="17"/>
                <w:szCs w:val="17"/>
              </w:rPr>
              <w:t xml:space="preserve">, en </w:t>
            </w:r>
            <w:r w:rsidR="000C2127" w:rsidRPr="001045B7">
              <w:rPr>
                <w:rFonts w:asciiTheme="minorHAnsi" w:hAnsiTheme="minorHAnsi" w:cstheme="minorHAnsi"/>
                <w:sz w:val="17"/>
                <w:szCs w:val="17"/>
              </w:rPr>
              <w:t>S</w:t>
            </w:r>
            <w:r w:rsidRPr="001045B7">
              <w:rPr>
                <w:rFonts w:asciiTheme="minorHAnsi" w:hAnsiTheme="minorHAnsi" w:cstheme="minorHAnsi"/>
                <w:sz w:val="17"/>
                <w:szCs w:val="17"/>
              </w:rPr>
              <w:t xml:space="preserve">anta </w:t>
            </w:r>
            <w:r w:rsidR="000C2127" w:rsidRPr="001045B7">
              <w:rPr>
                <w:rFonts w:asciiTheme="minorHAnsi" w:hAnsiTheme="minorHAnsi" w:cstheme="minorHAnsi"/>
                <w:sz w:val="17"/>
                <w:szCs w:val="17"/>
              </w:rPr>
              <w:t>B</w:t>
            </w:r>
            <w:r w:rsidRPr="001045B7">
              <w:rPr>
                <w:rFonts w:asciiTheme="minorHAnsi" w:hAnsiTheme="minorHAnsi" w:cstheme="minorHAnsi"/>
                <w:sz w:val="17"/>
                <w:szCs w:val="17"/>
              </w:rPr>
              <w:t xml:space="preserve">arbara, </w:t>
            </w:r>
            <w:r w:rsidR="000C2127" w:rsidRPr="001045B7">
              <w:rPr>
                <w:rFonts w:asciiTheme="minorHAnsi" w:hAnsiTheme="minorHAnsi" w:cstheme="minorHAnsi"/>
                <w:sz w:val="17"/>
                <w:szCs w:val="17"/>
              </w:rPr>
              <w:t>M</w:t>
            </w:r>
            <w:r w:rsidRPr="001045B7">
              <w:rPr>
                <w:rFonts w:asciiTheme="minorHAnsi" w:hAnsiTheme="minorHAnsi" w:cstheme="minorHAnsi"/>
                <w:sz w:val="17"/>
                <w:szCs w:val="17"/>
              </w:rPr>
              <w:t xml:space="preserve">unicipio de </w:t>
            </w:r>
            <w:r w:rsidR="000C2127" w:rsidRPr="001045B7">
              <w:rPr>
                <w:rFonts w:asciiTheme="minorHAnsi" w:hAnsiTheme="minorHAnsi" w:cstheme="minorHAnsi"/>
                <w:sz w:val="17"/>
                <w:szCs w:val="17"/>
              </w:rPr>
              <w:t>C</w:t>
            </w:r>
            <w:r w:rsidRPr="001045B7">
              <w:rPr>
                <w:rFonts w:asciiTheme="minorHAnsi" w:hAnsiTheme="minorHAnsi" w:cstheme="minorHAnsi"/>
                <w:sz w:val="17"/>
                <w:szCs w:val="17"/>
              </w:rPr>
              <w:t xml:space="preserve">orregidora, </w:t>
            </w:r>
            <w:proofErr w:type="spellStart"/>
            <w:r w:rsidR="000C2127"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w:t>
            </w:r>
          </w:p>
        </w:tc>
        <w:tc>
          <w:tcPr>
            <w:tcW w:w="1276" w:type="dxa"/>
            <w:shd w:val="clear" w:color="auto" w:fill="auto"/>
            <w:noWrap/>
          </w:tcPr>
          <w:p w14:paraId="21D1F270" w14:textId="4BD02FAA"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3,832,611</w:t>
            </w:r>
          </w:p>
        </w:tc>
      </w:tr>
      <w:tr w:rsidR="00197828" w:rsidRPr="001045B7" w14:paraId="17A97994" w14:textId="77777777" w:rsidTr="005B5D66">
        <w:trPr>
          <w:trHeight w:val="60"/>
        </w:trPr>
        <w:tc>
          <w:tcPr>
            <w:tcW w:w="9650" w:type="dxa"/>
            <w:shd w:val="clear" w:color="auto" w:fill="auto"/>
            <w:noWrap/>
          </w:tcPr>
          <w:p w14:paraId="755B23A5" w14:textId="5676F5FD"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Construcción de paraderos en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v. </w:t>
            </w:r>
            <w:r w:rsidR="00CC6D31" w:rsidRPr="001045B7">
              <w:rPr>
                <w:rFonts w:asciiTheme="minorHAnsi" w:hAnsiTheme="minorHAnsi" w:cstheme="minorHAnsi"/>
                <w:sz w:val="17"/>
                <w:szCs w:val="17"/>
              </w:rPr>
              <w:t>Z</w:t>
            </w:r>
            <w:r w:rsidRPr="001045B7">
              <w:rPr>
                <w:rFonts w:asciiTheme="minorHAnsi" w:hAnsiTheme="minorHAnsi" w:cstheme="minorHAnsi"/>
                <w:sz w:val="17"/>
                <w:szCs w:val="17"/>
              </w:rPr>
              <w:t xml:space="preserve">aragoza esquina </w:t>
            </w:r>
            <w:r w:rsidR="00CC6D31" w:rsidRPr="001045B7">
              <w:rPr>
                <w:rFonts w:asciiTheme="minorHAnsi" w:hAnsiTheme="minorHAnsi" w:cstheme="minorHAnsi"/>
                <w:sz w:val="17"/>
                <w:szCs w:val="17"/>
              </w:rPr>
              <w:t>V</w:t>
            </w:r>
            <w:r w:rsidRPr="001045B7">
              <w:rPr>
                <w:rFonts w:asciiTheme="minorHAnsi" w:hAnsiTheme="minorHAnsi" w:cstheme="minorHAnsi"/>
                <w:sz w:val="17"/>
                <w:szCs w:val="17"/>
              </w:rPr>
              <w:t xml:space="preserve">icente </w:t>
            </w:r>
            <w:r w:rsidR="00CC6D31" w:rsidRPr="001045B7">
              <w:rPr>
                <w:rFonts w:asciiTheme="minorHAnsi" w:hAnsiTheme="minorHAnsi" w:cstheme="minorHAnsi"/>
                <w:sz w:val="17"/>
                <w:szCs w:val="17"/>
              </w:rPr>
              <w:t>G</w:t>
            </w:r>
            <w:r w:rsidRPr="001045B7">
              <w:rPr>
                <w:rFonts w:asciiTheme="minorHAnsi" w:hAnsiTheme="minorHAnsi" w:cstheme="minorHAnsi"/>
                <w:sz w:val="17"/>
                <w:szCs w:val="17"/>
              </w:rPr>
              <w:t xml:space="preserve">uerrero,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lameda norte en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v. </w:t>
            </w:r>
            <w:r w:rsidR="00CC6D31" w:rsidRPr="001045B7">
              <w:rPr>
                <w:rFonts w:asciiTheme="minorHAnsi" w:hAnsiTheme="minorHAnsi" w:cstheme="minorHAnsi"/>
                <w:sz w:val="17"/>
                <w:szCs w:val="17"/>
              </w:rPr>
              <w:t>Z</w:t>
            </w:r>
            <w:r w:rsidRPr="001045B7">
              <w:rPr>
                <w:rFonts w:asciiTheme="minorHAnsi" w:hAnsiTheme="minorHAnsi" w:cstheme="minorHAnsi"/>
                <w:sz w:val="17"/>
                <w:szCs w:val="17"/>
              </w:rPr>
              <w:t xml:space="preserve">aragoza,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lameda sur en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v. </w:t>
            </w:r>
            <w:r w:rsidR="00CC6D31" w:rsidRPr="001045B7">
              <w:rPr>
                <w:rFonts w:asciiTheme="minorHAnsi" w:hAnsiTheme="minorHAnsi" w:cstheme="minorHAnsi"/>
                <w:sz w:val="17"/>
                <w:szCs w:val="17"/>
              </w:rPr>
              <w:t>Z</w:t>
            </w:r>
            <w:r w:rsidRPr="001045B7">
              <w:rPr>
                <w:rFonts w:asciiTheme="minorHAnsi" w:hAnsiTheme="minorHAnsi" w:cstheme="minorHAnsi"/>
                <w:sz w:val="17"/>
                <w:szCs w:val="17"/>
              </w:rPr>
              <w:t xml:space="preserve">aragoza y reubicación del paradero bicentenario sur en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v. </w:t>
            </w:r>
            <w:r w:rsidR="00CC6D31" w:rsidRPr="001045B7">
              <w:rPr>
                <w:rFonts w:asciiTheme="minorHAnsi" w:hAnsiTheme="minorHAnsi" w:cstheme="minorHAnsi"/>
                <w:sz w:val="17"/>
                <w:szCs w:val="17"/>
              </w:rPr>
              <w:t>C</w:t>
            </w:r>
            <w:r w:rsidRPr="001045B7">
              <w:rPr>
                <w:rFonts w:asciiTheme="minorHAnsi" w:hAnsiTheme="minorHAnsi" w:cstheme="minorHAnsi"/>
                <w:sz w:val="17"/>
                <w:szCs w:val="17"/>
              </w:rPr>
              <w:t xml:space="preserve">onstituyentes oriente, </w:t>
            </w:r>
            <w:r w:rsidR="00CC6D31" w:rsidRPr="001045B7">
              <w:rPr>
                <w:rFonts w:asciiTheme="minorHAnsi" w:hAnsiTheme="minorHAnsi" w:cstheme="minorHAnsi"/>
                <w:sz w:val="17"/>
                <w:szCs w:val="17"/>
              </w:rPr>
              <w:t>M</w:t>
            </w:r>
            <w:r w:rsidRPr="001045B7">
              <w:rPr>
                <w:rFonts w:asciiTheme="minorHAnsi" w:hAnsiTheme="minorHAnsi" w:cstheme="minorHAnsi"/>
                <w:sz w:val="17"/>
                <w:szCs w:val="17"/>
              </w:rPr>
              <w:t>un</w:t>
            </w:r>
            <w:r w:rsidR="00CC6D31" w:rsidRPr="001045B7">
              <w:rPr>
                <w:rFonts w:asciiTheme="minorHAnsi" w:hAnsiTheme="minorHAnsi" w:cstheme="minorHAnsi"/>
                <w:sz w:val="17"/>
                <w:szCs w:val="17"/>
              </w:rPr>
              <w:t>i</w:t>
            </w:r>
            <w:r w:rsidRPr="001045B7">
              <w:rPr>
                <w:rFonts w:asciiTheme="minorHAnsi" w:hAnsiTheme="minorHAnsi" w:cstheme="minorHAnsi"/>
                <w:sz w:val="17"/>
                <w:szCs w:val="17"/>
              </w:rPr>
              <w:t xml:space="preserve">cipio de </w:t>
            </w:r>
            <w:r w:rsidR="00CC6D31"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C6D31"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xml:space="preserve">. </w:t>
            </w:r>
          </w:p>
        </w:tc>
        <w:tc>
          <w:tcPr>
            <w:tcW w:w="1276" w:type="dxa"/>
            <w:shd w:val="clear" w:color="auto" w:fill="auto"/>
            <w:noWrap/>
          </w:tcPr>
          <w:p w14:paraId="447355A5" w14:textId="01C1F555"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2,045,875</w:t>
            </w:r>
          </w:p>
        </w:tc>
      </w:tr>
      <w:tr w:rsidR="00197828" w:rsidRPr="001045B7" w14:paraId="23A4D07C" w14:textId="77777777" w:rsidTr="005B5D66">
        <w:trPr>
          <w:trHeight w:val="60"/>
        </w:trPr>
        <w:tc>
          <w:tcPr>
            <w:tcW w:w="9650" w:type="dxa"/>
            <w:shd w:val="clear" w:color="auto" w:fill="auto"/>
            <w:noWrap/>
          </w:tcPr>
          <w:p w14:paraId="5BA9E60D" w14:textId="3AD54FB5" w:rsidR="00197828" w:rsidRPr="001045B7" w:rsidRDefault="00197828" w:rsidP="00197828">
            <w:pPr>
              <w:jc w:val="both"/>
              <w:rPr>
                <w:rFonts w:asciiTheme="minorHAnsi" w:hAnsiTheme="minorHAnsi" w:cstheme="minorHAnsi"/>
                <w:sz w:val="17"/>
                <w:szCs w:val="17"/>
              </w:rPr>
            </w:pPr>
            <w:r w:rsidRPr="001045B7">
              <w:rPr>
                <w:rFonts w:asciiTheme="minorHAnsi" w:hAnsiTheme="minorHAnsi" w:cstheme="minorHAnsi"/>
                <w:sz w:val="17"/>
                <w:szCs w:val="17"/>
              </w:rPr>
              <w:t xml:space="preserve">Mejoramiento de calle océano </w:t>
            </w:r>
            <w:proofErr w:type="spellStart"/>
            <w:r w:rsidRPr="001045B7">
              <w:rPr>
                <w:rFonts w:asciiTheme="minorHAnsi" w:hAnsiTheme="minorHAnsi" w:cstheme="minorHAnsi"/>
                <w:sz w:val="17"/>
                <w:szCs w:val="17"/>
              </w:rPr>
              <w:t>índico</w:t>
            </w:r>
            <w:proofErr w:type="spellEnd"/>
            <w:r w:rsidRPr="001045B7">
              <w:rPr>
                <w:rFonts w:asciiTheme="minorHAnsi" w:hAnsiTheme="minorHAnsi" w:cstheme="minorHAnsi"/>
                <w:sz w:val="17"/>
                <w:szCs w:val="17"/>
              </w:rPr>
              <w:t xml:space="preserve"> y mar </w:t>
            </w:r>
            <w:proofErr w:type="spellStart"/>
            <w:r w:rsidRPr="001045B7">
              <w:rPr>
                <w:rFonts w:asciiTheme="minorHAnsi" w:hAnsiTheme="minorHAnsi" w:cstheme="minorHAnsi"/>
                <w:sz w:val="17"/>
                <w:szCs w:val="17"/>
              </w:rPr>
              <w:t>timor</w:t>
            </w:r>
            <w:proofErr w:type="spellEnd"/>
            <w:r w:rsidRPr="001045B7">
              <w:rPr>
                <w:rFonts w:asciiTheme="minorHAnsi" w:hAnsiTheme="minorHAnsi" w:cstheme="minorHAnsi"/>
                <w:sz w:val="17"/>
                <w:szCs w:val="17"/>
              </w:rPr>
              <w:t xml:space="preserve"> fraccionamiento </w:t>
            </w:r>
            <w:r w:rsidR="00CC6D31" w:rsidRPr="001045B7">
              <w:rPr>
                <w:rFonts w:asciiTheme="minorHAnsi" w:hAnsiTheme="minorHAnsi" w:cstheme="minorHAnsi"/>
                <w:sz w:val="17"/>
                <w:szCs w:val="17"/>
              </w:rPr>
              <w:t>S</w:t>
            </w:r>
            <w:r w:rsidRPr="001045B7">
              <w:rPr>
                <w:rFonts w:asciiTheme="minorHAnsi" w:hAnsiTheme="minorHAnsi" w:cstheme="minorHAnsi"/>
                <w:sz w:val="17"/>
                <w:szCs w:val="17"/>
              </w:rPr>
              <w:t xml:space="preserve">an </w:t>
            </w:r>
            <w:r w:rsidR="00CC6D31" w:rsidRPr="001045B7">
              <w:rPr>
                <w:rFonts w:asciiTheme="minorHAnsi" w:hAnsiTheme="minorHAnsi" w:cstheme="minorHAnsi"/>
                <w:sz w:val="17"/>
                <w:szCs w:val="17"/>
              </w:rPr>
              <w:t>A</w:t>
            </w:r>
            <w:r w:rsidRPr="001045B7">
              <w:rPr>
                <w:rFonts w:asciiTheme="minorHAnsi" w:hAnsiTheme="minorHAnsi" w:cstheme="minorHAnsi"/>
                <w:sz w:val="17"/>
                <w:szCs w:val="17"/>
              </w:rPr>
              <w:t xml:space="preserve">ntonio del </w:t>
            </w:r>
            <w:proofErr w:type="spellStart"/>
            <w:r w:rsidR="00CC6D31" w:rsidRPr="001045B7">
              <w:rPr>
                <w:rFonts w:asciiTheme="minorHAnsi" w:hAnsiTheme="minorHAnsi" w:cstheme="minorHAnsi"/>
                <w:sz w:val="17"/>
                <w:szCs w:val="17"/>
              </w:rPr>
              <w:t>M</w:t>
            </w:r>
            <w:r w:rsidRPr="001045B7">
              <w:rPr>
                <w:rFonts w:asciiTheme="minorHAnsi" w:hAnsiTheme="minorHAnsi" w:cstheme="minorHAnsi"/>
                <w:sz w:val="17"/>
                <w:szCs w:val="17"/>
              </w:rPr>
              <w:t>aurel</w:t>
            </w:r>
            <w:proofErr w:type="spellEnd"/>
            <w:r w:rsidRPr="001045B7">
              <w:rPr>
                <w:rFonts w:asciiTheme="minorHAnsi" w:hAnsiTheme="minorHAnsi" w:cstheme="minorHAnsi"/>
                <w:sz w:val="17"/>
                <w:szCs w:val="17"/>
              </w:rPr>
              <w:t xml:space="preserve">, </w:t>
            </w:r>
            <w:r w:rsidR="00CC6D31"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C6D31"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w:t>
            </w:r>
          </w:p>
        </w:tc>
        <w:tc>
          <w:tcPr>
            <w:tcW w:w="1276" w:type="dxa"/>
            <w:shd w:val="clear" w:color="auto" w:fill="auto"/>
            <w:noWrap/>
          </w:tcPr>
          <w:p w14:paraId="1FEB5EE9" w14:textId="4ABBE031" w:rsidR="00197828" w:rsidRPr="001045B7" w:rsidRDefault="00197828" w:rsidP="00197828">
            <w:pPr>
              <w:jc w:val="right"/>
              <w:rPr>
                <w:rFonts w:asciiTheme="minorHAnsi" w:hAnsiTheme="minorHAnsi" w:cstheme="minorHAnsi"/>
                <w:sz w:val="17"/>
                <w:szCs w:val="17"/>
              </w:rPr>
            </w:pPr>
            <w:r w:rsidRPr="001045B7">
              <w:rPr>
                <w:rFonts w:asciiTheme="minorHAnsi" w:hAnsiTheme="minorHAnsi" w:cstheme="minorHAnsi"/>
                <w:sz w:val="17"/>
                <w:szCs w:val="17"/>
              </w:rPr>
              <w:t>1,204,493</w:t>
            </w:r>
          </w:p>
        </w:tc>
      </w:tr>
      <w:tr w:rsidR="00197828" w:rsidRPr="001045B7" w14:paraId="7B59F9A9" w14:textId="77777777" w:rsidTr="005B5D66">
        <w:trPr>
          <w:trHeight w:val="60"/>
        </w:trPr>
        <w:tc>
          <w:tcPr>
            <w:tcW w:w="9650" w:type="dxa"/>
            <w:shd w:val="clear" w:color="auto" w:fill="auto"/>
            <w:noWrap/>
          </w:tcPr>
          <w:p w14:paraId="04DEF599" w14:textId="746DFCA7"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Conservación de fachadas para el templo de </w:t>
            </w:r>
            <w:r w:rsidR="00CC6D31" w:rsidRPr="001045B7">
              <w:rPr>
                <w:rFonts w:asciiTheme="minorHAnsi" w:hAnsiTheme="minorHAnsi" w:cstheme="minorHAnsi"/>
                <w:sz w:val="17"/>
                <w:szCs w:val="17"/>
              </w:rPr>
              <w:t>S</w:t>
            </w:r>
            <w:r w:rsidRPr="001045B7">
              <w:rPr>
                <w:rFonts w:asciiTheme="minorHAnsi" w:hAnsiTheme="minorHAnsi" w:cstheme="minorHAnsi"/>
                <w:sz w:val="17"/>
                <w:szCs w:val="17"/>
              </w:rPr>
              <w:t xml:space="preserve">anta </w:t>
            </w:r>
            <w:r w:rsidR="00CC6D31" w:rsidRPr="001045B7">
              <w:rPr>
                <w:rFonts w:asciiTheme="minorHAnsi" w:hAnsiTheme="minorHAnsi" w:cstheme="minorHAnsi"/>
                <w:sz w:val="17"/>
                <w:szCs w:val="17"/>
              </w:rPr>
              <w:t>R</w:t>
            </w:r>
            <w:r w:rsidRPr="001045B7">
              <w:rPr>
                <w:rFonts w:asciiTheme="minorHAnsi" w:hAnsiTheme="minorHAnsi" w:cstheme="minorHAnsi"/>
                <w:sz w:val="17"/>
                <w:szCs w:val="17"/>
              </w:rPr>
              <w:t xml:space="preserve">osa de </w:t>
            </w:r>
            <w:r w:rsidR="00CC6D31" w:rsidRPr="001045B7">
              <w:rPr>
                <w:rFonts w:asciiTheme="minorHAnsi" w:hAnsiTheme="minorHAnsi" w:cstheme="minorHAnsi"/>
                <w:sz w:val="17"/>
                <w:szCs w:val="17"/>
              </w:rPr>
              <w:t>V</w:t>
            </w:r>
            <w:r w:rsidRPr="001045B7">
              <w:rPr>
                <w:rFonts w:asciiTheme="minorHAnsi" w:hAnsiTheme="minorHAnsi" w:cstheme="minorHAnsi"/>
                <w:sz w:val="17"/>
                <w:szCs w:val="17"/>
              </w:rPr>
              <w:t xml:space="preserve">iterbo, etapa </w:t>
            </w:r>
            <w:proofErr w:type="spellStart"/>
            <w:r w:rsidRPr="001045B7">
              <w:rPr>
                <w:rFonts w:asciiTheme="minorHAnsi" w:hAnsiTheme="minorHAnsi" w:cstheme="minorHAnsi"/>
                <w:sz w:val="17"/>
                <w:szCs w:val="17"/>
              </w:rPr>
              <w:t>ii</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zmhq</w:t>
            </w:r>
            <w:proofErr w:type="spellEnd"/>
            <w:r w:rsidRPr="001045B7">
              <w:rPr>
                <w:rFonts w:asciiTheme="minorHAnsi" w:hAnsiTheme="minorHAnsi" w:cstheme="minorHAnsi"/>
                <w:sz w:val="17"/>
                <w:szCs w:val="17"/>
              </w:rPr>
              <w:t>) delegación municipal del centro histórico.</w:t>
            </w:r>
          </w:p>
        </w:tc>
        <w:tc>
          <w:tcPr>
            <w:tcW w:w="1276" w:type="dxa"/>
            <w:shd w:val="clear" w:color="auto" w:fill="auto"/>
            <w:noWrap/>
          </w:tcPr>
          <w:p w14:paraId="7880AC2C" w14:textId="635FEE5E"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628,573</w:t>
            </w:r>
          </w:p>
        </w:tc>
      </w:tr>
      <w:tr w:rsidR="00197828" w:rsidRPr="001045B7" w14:paraId="61078285" w14:textId="77777777" w:rsidTr="005B5D66">
        <w:trPr>
          <w:trHeight w:val="140"/>
        </w:trPr>
        <w:tc>
          <w:tcPr>
            <w:tcW w:w="9650" w:type="dxa"/>
            <w:shd w:val="clear" w:color="auto" w:fill="auto"/>
            <w:noWrap/>
          </w:tcPr>
          <w:p w14:paraId="45CBB4F7" w14:textId="03D15578"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Reestructuración para el exconvento de </w:t>
            </w:r>
            <w:r w:rsidR="00C01575" w:rsidRPr="001045B7">
              <w:rPr>
                <w:rFonts w:asciiTheme="minorHAnsi" w:hAnsiTheme="minorHAnsi" w:cstheme="minorHAnsi"/>
                <w:sz w:val="17"/>
                <w:szCs w:val="17"/>
              </w:rPr>
              <w:t>S</w:t>
            </w:r>
            <w:r w:rsidRPr="001045B7">
              <w:rPr>
                <w:rFonts w:asciiTheme="minorHAnsi" w:hAnsiTheme="minorHAnsi" w:cstheme="minorHAnsi"/>
                <w:sz w:val="17"/>
                <w:szCs w:val="17"/>
              </w:rPr>
              <w:t xml:space="preserve">anta </w:t>
            </w:r>
            <w:r w:rsidR="00C01575" w:rsidRPr="001045B7">
              <w:rPr>
                <w:rFonts w:asciiTheme="minorHAnsi" w:hAnsiTheme="minorHAnsi" w:cstheme="minorHAnsi"/>
                <w:sz w:val="17"/>
                <w:szCs w:val="17"/>
              </w:rPr>
              <w:t>R</w:t>
            </w:r>
            <w:r w:rsidRPr="001045B7">
              <w:rPr>
                <w:rFonts w:asciiTheme="minorHAnsi" w:hAnsiTheme="minorHAnsi" w:cstheme="minorHAnsi"/>
                <w:sz w:val="17"/>
                <w:szCs w:val="17"/>
              </w:rPr>
              <w:t xml:space="preserve">osa de </w:t>
            </w:r>
            <w:r w:rsidR="00C01575" w:rsidRPr="001045B7">
              <w:rPr>
                <w:rFonts w:asciiTheme="minorHAnsi" w:hAnsiTheme="minorHAnsi" w:cstheme="minorHAnsi"/>
                <w:sz w:val="17"/>
                <w:szCs w:val="17"/>
              </w:rPr>
              <w:t>V</w:t>
            </w:r>
            <w:r w:rsidRPr="001045B7">
              <w:rPr>
                <w:rFonts w:asciiTheme="minorHAnsi" w:hAnsiTheme="minorHAnsi" w:cstheme="minorHAnsi"/>
                <w:sz w:val="17"/>
                <w:szCs w:val="17"/>
              </w:rPr>
              <w:t xml:space="preserve">iterbo, </w:t>
            </w:r>
            <w:r w:rsidR="00C01575" w:rsidRPr="001045B7">
              <w:rPr>
                <w:rFonts w:asciiTheme="minorHAnsi" w:hAnsiTheme="minorHAnsi" w:cstheme="minorHAnsi"/>
                <w:sz w:val="17"/>
                <w:szCs w:val="17"/>
              </w:rPr>
              <w:t>S</w:t>
            </w:r>
            <w:r w:rsidRPr="001045B7">
              <w:rPr>
                <w:rFonts w:asciiTheme="minorHAnsi" w:hAnsiTheme="minorHAnsi" w:cstheme="minorHAnsi"/>
                <w:sz w:val="17"/>
                <w:szCs w:val="17"/>
              </w:rPr>
              <w:t xml:space="preserve">antiago de </w:t>
            </w:r>
            <w:r w:rsidR="00C01575"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01575"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xml:space="preserve">. (estabilización de subsuelo) </w:t>
            </w:r>
            <w:proofErr w:type="spellStart"/>
            <w:r w:rsidRPr="001045B7">
              <w:rPr>
                <w:rFonts w:asciiTheme="minorHAnsi" w:hAnsiTheme="minorHAnsi" w:cstheme="minorHAnsi"/>
                <w:sz w:val="17"/>
                <w:szCs w:val="17"/>
              </w:rPr>
              <w:t>1era</w:t>
            </w:r>
            <w:proofErr w:type="spellEnd"/>
            <w:r w:rsidRPr="001045B7">
              <w:rPr>
                <w:rFonts w:asciiTheme="minorHAnsi" w:hAnsiTheme="minorHAnsi" w:cstheme="minorHAnsi"/>
                <w:sz w:val="17"/>
                <w:szCs w:val="17"/>
              </w:rPr>
              <w:t xml:space="preserve"> etapa</w:t>
            </w:r>
          </w:p>
        </w:tc>
        <w:tc>
          <w:tcPr>
            <w:tcW w:w="1276" w:type="dxa"/>
            <w:shd w:val="clear" w:color="auto" w:fill="auto"/>
            <w:noWrap/>
          </w:tcPr>
          <w:p w14:paraId="32EA4937" w14:textId="5993F490"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390,921</w:t>
            </w:r>
          </w:p>
        </w:tc>
      </w:tr>
      <w:tr w:rsidR="00197828" w:rsidRPr="001045B7" w14:paraId="414B64AE" w14:textId="77777777" w:rsidTr="005B5D66">
        <w:trPr>
          <w:trHeight w:val="60"/>
        </w:trPr>
        <w:tc>
          <w:tcPr>
            <w:tcW w:w="9650" w:type="dxa"/>
            <w:shd w:val="clear" w:color="auto" w:fill="auto"/>
            <w:noWrap/>
          </w:tcPr>
          <w:p w14:paraId="7827035A" w14:textId="49603BA3"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Construcción de estacionamiento y rehabilitación de andadores del parque </w:t>
            </w:r>
            <w:r w:rsidR="00C01575"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2000, en el </w:t>
            </w:r>
            <w:r w:rsidR="00C01575" w:rsidRPr="001045B7">
              <w:rPr>
                <w:rFonts w:asciiTheme="minorHAnsi" w:hAnsiTheme="minorHAnsi" w:cstheme="minorHAnsi"/>
                <w:sz w:val="17"/>
                <w:szCs w:val="17"/>
              </w:rPr>
              <w:t>M</w:t>
            </w:r>
            <w:r w:rsidRPr="001045B7">
              <w:rPr>
                <w:rFonts w:asciiTheme="minorHAnsi" w:hAnsiTheme="minorHAnsi" w:cstheme="minorHAnsi"/>
                <w:sz w:val="17"/>
                <w:szCs w:val="17"/>
              </w:rPr>
              <w:t xml:space="preserve">unicipio de </w:t>
            </w:r>
            <w:r w:rsidR="00C01575"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01575"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xml:space="preserve">. </w:t>
            </w:r>
          </w:p>
        </w:tc>
        <w:tc>
          <w:tcPr>
            <w:tcW w:w="1276" w:type="dxa"/>
            <w:shd w:val="clear" w:color="auto" w:fill="auto"/>
            <w:noWrap/>
          </w:tcPr>
          <w:p w14:paraId="0BB88823" w14:textId="3E313077"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379,409</w:t>
            </w:r>
          </w:p>
        </w:tc>
      </w:tr>
      <w:tr w:rsidR="00197828" w:rsidRPr="001045B7" w14:paraId="6B3B22F1" w14:textId="77777777" w:rsidTr="005B5D66">
        <w:trPr>
          <w:trHeight w:val="267"/>
        </w:trPr>
        <w:tc>
          <w:tcPr>
            <w:tcW w:w="9650" w:type="dxa"/>
            <w:shd w:val="clear" w:color="auto" w:fill="auto"/>
            <w:noWrap/>
          </w:tcPr>
          <w:p w14:paraId="0462495F" w14:textId="7C070F6B"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Ampliación de unidad canina especializada </w:t>
            </w:r>
            <w:proofErr w:type="spellStart"/>
            <w:r w:rsidRPr="001045B7">
              <w:rPr>
                <w:rFonts w:asciiTheme="minorHAnsi" w:hAnsiTheme="minorHAnsi" w:cstheme="minorHAnsi"/>
                <w:sz w:val="17"/>
                <w:szCs w:val="17"/>
              </w:rPr>
              <w:t>k9</w:t>
            </w:r>
            <w:proofErr w:type="spellEnd"/>
            <w:r w:rsidRPr="001045B7">
              <w:rPr>
                <w:rFonts w:asciiTheme="minorHAnsi" w:hAnsiTheme="minorHAnsi" w:cstheme="minorHAnsi"/>
                <w:sz w:val="17"/>
                <w:szCs w:val="17"/>
              </w:rPr>
              <w:t xml:space="preserve"> de la </w:t>
            </w:r>
            <w:r w:rsidR="00D1017F" w:rsidRPr="001045B7">
              <w:rPr>
                <w:rFonts w:asciiTheme="minorHAnsi" w:hAnsiTheme="minorHAnsi" w:cstheme="minorHAnsi"/>
                <w:sz w:val="17"/>
                <w:szCs w:val="17"/>
              </w:rPr>
              <w:t>policía</w:t>
            </w:r>
            <w:r w:rsidRPr="001045B7">
              <w:rPr>
                <w:rFonts w:asciiTheme="minorHAnsi" w:hAnsiTheme="minorHAnsi" w:cstheme="minorHAnsi"/>
                <w:sz w:val="17"/>
                <w:szCs w:val="17"/>
              </w:rPr>
              <w:t xml:space="preserve"> estatal, </w:t>
            </w:r>
            <w:r w:rsidR="00C01575" w:rsidRPr="001045B7">
              <w:rPr>
                <w:rFonts w:asciiTheme="minorHAnsi" w:hAnsiTheme="minorHAnsi" w:cstheme="minorHAnsi"/>
                <w:sz w:val="17"/>
                <w:szCs w:val="17"/>
              </w:rPr>
              <w:t>M</w:t>
            </w:r>
            <w:r w:rsidRPr="001045B7">
              <w:rPr>
                <w:rFonts w:asciiTheme="minorHAnsi" w:hAnsiTheme="minorHAnsi" w:cstheme="minorHAnsi"/>
                <w:sz w:val="17"/>
                <w:szCs w:val="17"/>
              </w:rPr>
              <w:t xml:space="preserve">unicipio de </w:t>
            </w:r>
            <w:r w:rsidR="00C01575"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01575"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xml:space="preserve">. </w:t>
            </w:r>
          </w:p>
        </w:tc>
        <w:tc>
          <w:tcPr>
            <w:tcW w:w="1276" w:type="dxa"/>
            <w:shd w:val="clear" w:color="auto" w:fill="auto"/>
            <w:noWrap/>
          </w:tcPr>
          <w:p w14:paraId="49A5730A" w14:textId="1C23F700"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318,446</w:t>
            </w:r>
          </w:p>
        </w:tc>
      </w:tr>
      <w:tr w:rsidR="00197828" w:rsidRPr="001045B7" w14:paraId="7C479C86" w14:textId="77777777" w:rsidTr="005B5D66">
        <w:trPr>
          <w:trHeight w:val="280"/>
        </w:trPr>
        <w:tc>
          <w:tcPr>
            <w:tcW w:w="9650" w:type="dxa"/>
            <w:shd w:val="clear" w:color="auto" w:fill="auto"/>
            <w:noWrap/>
          </w:tcPr>
          <w:p w14:paraId="56B86F5C" w14:textId="39C77EBE"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Conservación de fachadas para el templo de </w:t>
            </w:r>
            <w:r w:rsidR="00C01575" w:rsidRPr="001045B7">
              <w:rPr>
                <w:rFonts w:asciiTheme="minorHAnsi" w:hAnsiTheme="minorHAnsi" w:cstheme="minorHAnsi"/>
                <w:sz w:val="17"/>
                <w:szCs w:val="17"/>
              </w:rPr>
              <w:t>S</w:t>
            </w:r>
            <w:r w:rsidRPr="001045B7">
              <w:rPr>
                <w:rFonts w:asciiTheme="minorHAnsi" w:hAnsiTheme="minorHAnsi" w:cstheme="minorHAnsi"/>
                <w:sz w:val="17"/>
                <w:szCs w:val="17"/>
              </w:rPr>
              <w:t xml:space="preserve">anta </w:t>
            </w:r>
            <w:r w:rsidR="00C01575" w:rsidRPr="001045B7">
              <w:rPr>
                <w:rFonts w:asciiTheme="minorHAnsi" w:hAnsiTheme="minorHAnsi" w:cstheme="minorHAnsi"/>
                <w:sz w:val="17"/>
                <w:szCs w:val="17"/>
              </w:rPr>
              <w:t>R</w:t>
            </w:r>
            <w:r w:rsidRPr="001045B7">
              <w:rPr>
                <w:rFonts w:asciiTheme="minorHAnsi" w:hAnsiTheme="minorHAnsi" w:cstheme="minorHAnsi"/>
                <w:sz w:val="17"/>
                <w:szCs w:val="17"/>
              </w:rPr>
              <w:t xml:space="preserve">osa de </w:t>
            </w:r>
            <w:r w:rsidR="00C01575" w:rsidRPr="001045B7">
              <w:rPr>
                <w:rFonts w:asciiTheme="minorHAnsi" w:hAnsiTheme="minorHAnsi" w:cstheme="minorHAnsi"/>
                <w:sz w:val="17"/>
                <w:szCs w:val="17"/>
              </w:rPr>
              <w:t>V</w:t>
            </w:r>
            <w:r w:rsidRPr="001045B7">
              <w:rPr>
                <w:rFonts w:asciiTheme="minorHAnsi" w:hAnsiTheme="minorHAnsi" w:cstheme="minorHAnsi"/>
                <w:sz w:val="17"/>
                <w:szCs w:val="17"/>
              </w:rPr>
              <w:t xml:space="preserve">iterbo, etapa </w:t>
            </w:r>
            <w:r w:rsidR="00D1017F" w:rsidRPr="001045B7">
              <w:rPr>
                <w:rFonts w:asciiTheme="minorHAnsi" w:hAnsiTheme="minorHAnsi" w:cstheme="minorHAnsi"/>
                <w:sz w:val="17"/>
                <w:szCs w:val="17"/>
              </w:rPr>
              <w:t>II</w:t>
            </w:r>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zmhq</w:t>
            </w:r>
            <w:proofErr w:type="spellEnd"/>
            <w:r w:rsidRPr="001045B7">
              <w:rPr>
                <w:rFonts w:asciiTheme="minorHAnsi" w:hAnsiTheme="minorHAnsi" w:cstheme="minorHAnsi"/>
                <w:sz w:val="17"/>
                <w:szCs w:val="17"/>
              </w:rPr>
              <w:t>) delegación municipal del centro histórico.</w:t>
            </w:r>
          </w:p>
        </w:tc>
        <w:tc>
          <w:tcPr>
            <w:tcW w:w="1276" w:type="dxa"/>
            <w:shd w:val="clear" w:color="auto" w:fill="auto"/>
            <w:noWrap/>
          </w:tcPr>
          <w:p w14:paraId="7C950757" w14:textId="47FD53A2"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217,061</w:t>
            </w:r>
          </w:p>
        </w:tc>
      </w:tr>
      <w:tr w:rsidR="00197828" w:rsidRPr="001045B7" w14:paraId="3AB5D42E" w14:textId="77777777" w:rsidTr="005B5D66">
        <w:trPr>
          <w:trHeight w:val="182"/>
        </w:trPr>
        <w:tc>
          <w:tcPr>
            <w:tcW w:w="9650" w:type="dxa"/>
            <w:shd w:val="clear" w:color="auto" w:fill="auto"/>
            <w:noWrap/>
          </w:tcPr>
          <w:p w14:paraId="624CADB3" w14:textId="34BB41D9" w:rsidR="00197828" w:rsidRPr="001045B7" w:rsidRDefault="00197828" w:rsidP="00197828">
            <w:pPr>
              <w:jc w:val="both"/>
              <w:rPr>
                <w:rFonts w:asciiTheme="minorHAnsi" w:hAnsiTheme="minorHAnsi" w:cstheme="minorHAnsi"/>
                <w:color w:val="000000"/>
                <w:sz w:val="17"/>
                <w:szCs w:val="17"/>
              </w:rPr>
            </w:pPr>
            <w:r w:rsidRPr="001045B7">
              <w:rPr>
                <w:rFonts w:asciiTheme="minorHAnsi" w:hAnsiTheme="minorHAnsi" w:cstheme="minorHAnsi"/>
                <w:sz w:val="17"/>
                <w:szCs w:val="17"/>
              </w:rPr>
              <w:t xml:space="preserve">Reestructuración para el exconvento de </w:t>
            </w:r>
            <w:r w:rsidR="00C01575" w:rsidRPr="001045B7">
              <w:rPr>
                <w:rFonts w:asciiTheme="minorHAnsi" w:hAnsiTheme="minorHAnsi" w:cstheme="minorHAnsi"/>
                <w:sz w:val="17"/>
                <w:szCs w:val="17"/>
              </w:rPr>
              <w:t>S</w:t>
            </w:r>
            <w:r w:rsidRPr="001045B7">
              <w:rPr>
                <w:rFonts w:asciiTheme="minorHAnsi" w:hAnsiTheme="minorHAnsi" w:cstheme="minorHAnsi"/>
                <w:sz w:val="17"/>
                <w:szCs w:val="17"/>
              </w:rPr>
              <w:t xml:space="preserve">anta </w:t>
            </w:r>
            <w:r w:rsidR="00C01575" w:rsidRPr="001045B7">
              <w:rPr>
                <w:rFonts w:asciiTheme="minorHAnsi" w:hAnsiTheme="minorHAnsi" w:cstheme="minorHAnsi"/>
                <w:sz w:val="17"/>
                <w:szCs w:val="17"/>
              </w:rPr>
              <w:t>R</w:t>
            </w:r>
            <w:r w:rsidRPr="001045B7">
              <w:rPr>
                <w:rFonts w:asciiTheme="minorHAnsi" w:hAnsiTheme="minorHAnsi" w:cstheme="minorHAnsi"/>
                <w:sz w:val="17"/>
                <w:szCs w:val="17"/>
              </w:rPr>
              <w:t xml:space="preserve">osa de </w:t>
            </w:r>
            <w:r w:rsidR="00C01575" w:rsidRPr="001045B7">
              <w:rPr>
                <w:rFonts w:asciiTheme="minorHAnsi" w:hAnsiTheme="minorHAnsi" w:cstheme="minorHAnsi"/>
                <w:sz w:val="17"/>
                <w:szCs w:val="17"/>
              </w:rPr>
              <w:t>V</w:t>
            </w:r>
            <w:r w:rsidRPr="001045B7">
              <w:rPr>
                <w:rFonts w:asciiTheme="minorHAnsi" w:hAnsiTheme="minorHAnsi" w:cstheme="minorHAnsi"/>
                <w:sz w:val="17"/>
                <w:szCs w:val="17"/>
              </w:rPr>
              <w:t xml:space="preserve">iterbo, </w:t>
            </w:r>
            <w:r w:rsidR="00C01575" w:rsidRPr="001045B7">
              <w:rPr>
                <w:rFonts w:asciiTheme="minorHAnsi" w:hAnsiTheme="minorHAnsi" w:cstheme="minorHAnsi"/>
                <w:sz w:val="17"/>
                <w:szCs w:val="17"/>
              </w:rPr>
              <w:t>S</w:t>
            </w:r>
            <w:r w:rsidRPr="001045B7">
              <w:rPr>
                <w:rFonts w:asciiTheme="minorHAnsi" w:hAnsiTheme="minorHAnsi" w:cstheme="minorHAnsi"/>
                <w:sz w:val="17"/>
                <w:szCs w:val="17"/>
              </w:rPr>
              <w:t xml:space="preserve">antiago de </w:t>
            </w:r>
            <w:r w:rsidR="00C01575" w:rsidRPr="001045B7">
              <w:rPr>
                <w:rFonts w:asciiTheme="minorHAnsi" w:hAnsiTheme="minorHAnsi" w:cstheme="minorHAnsi"/>
                <w:sz w:val="17"/>
                <w:szCs w:val="17"/>
              </w:rPr>
              <w:t>Q</w:t>
            </w:r>
            <w:r w:rsidRPr="001045B7">
              <w:rPr>
                <w:rFonts w:asciiTheme="minorHAnsi" w:hAnsiTheme="minorHAnsi" w:cstheme="minorHAnsi"/>
                <w:sz w:val="17"/>
                <w:szCs w:val="17"/>
              </w:rPr>
              <w:t xml:space="preserve">uerétaro, </w:t>
            </w:r>
            <w:proofErr w:type="spellStart"/>
            <w:r w:rsidR="00C01575" w:rsidRPr="001045B7">
              <w:rPr>
                <w:rFonts w:asciiTheme="minorHAnsi" w:hAnsiTheme="minorHAnsi" w:cstheme="minorHAnsi"/>
                <w:sz w:val="17"/>
                <w:szCs w:val="17"/>
              </w:rPr>
              <w:t>Q</w:t>
            </w:r>
            <w:r w:rsidRPr="001045B7">
              <w:rPr>
                <w:rFonts w:asciiTheme="minorHAnsi" w:hAnsiTheme="minorHAnsi" w:cstheme="minorHAnsi"/>
                <w:sz w:val="17"/>
                <w:szCs w:val="17"/>
              </w:rPr>
              <w:t>ro</w:t>
            </w:r>
            <w:proofErr w:type="spellEnd"/>
            <w:r w:rsidRPr="001045B7">
              <w:rPr>
                <w:rFonts w:asciiTheme="minorHAnsi" w:hAnsiTheme="minorHAnsi" w:cstheme="minorHAnsi"/>
                <w:sz w:val="17"/>
                <w:szCs w:val="17"/>
              </w:rPr>
              <w:t xml:space="preserve">. (estabilización de subsuelo) </w:t>
            </w:r>
            <w:proofErr w:type="spellStart"/>
            <w:r w:rsidRPr="001045B7">
              <w:rPr>
                <w:rFonts w:asciiTheme="minorHAnsi" w:hAnsiTheme="minorHAnsi" w:cstheme="minorHAnsi"/>
                <w:sz w:val="17"/>
                <w:szCs w:val="17"/>
              </w:rPr>
              <w:t>1era</w:t>
            </w:r>
            <w:proofErr w:type="spellEnd"/>
            <w:r w:rsidRPr="001045B7">
              <w:rPr>
                <w:rFonts w:asciiTheme="minorHAnsi" w:hAnsiTheme="minorHAnsi" w:cstheme="minorHAnsi"/>
                <w:sz w:val="17"/>
                <w:szCs w:val="17"/>
              </w:rPr>
              <w:t xml:space="preserve"> etapa</w:t>
            </w:r>
          </w:p>
        </w:tc>
        <w:tc>
          <w:tcPr>
            <w:tcW w:w="1276" w:type="dxa"/>
            <w:shd w:val="clear" w:color="auto" w:fill="auto"/>
            <w:noWrap/>
          </w:tcPr>
          <w:p w14:paraId="32B090F5" w14:textId="15C7A059" w:rsidR="00197828" w:rsidRPr="001045B7" w:rsidRDefault="00197828" w:rsidP="00197828">
            <w:pPr>
              <w:jc w:val="right"/>
              <w:rPr>
                <w:rFonts w:asciiTheme="minorHAnsi" w:hAnsiTheme="minorHAnsi" w:cstheme="minorHAnsi"/>
                <w:color w:val="000000"/>
                <w:sz w:val="17"/>
                <w:szCs w:val="17"/>
              </w:rPr>
            </w:pPr>
            <w:r w:rsidRPr="001045B7">
              <w:rPr>
                <w:rFonts w:asciiTheme="minorHAnsi" w:hAnsiTheme="minorHAnsi" w:cstheme="minorHAnsi"/>
                <w:sz w:val="17"/>
                <w:szCs w:val="17"/>
              </w:rPr>
              <w:t>62,732</w:t>
            </w:r>
          </w:p>
        </w:tc>
      </w:tr>
      <w:tr w:rsidR="00197828" w:rsidRPr="001045B7" w14:paraId="7FAFF3DA" w14:textId="77777777" w:rsidTr="005B5D66">
        <w:trPr>
          <w:trHeight w:val="70"/>
        </w:trPr>
        <w:tc>
          <w:tcPr>
            <w:tcW w:w="9650" w:type="dxa"/>
            <w:shd w:val="clear" w:color="auto" w:fill="auto"/>
            <w:noWrap/>
          </w:tcPr>
          <w:p w14:paraId="3D3D4596" w14:textId="75A9DFFB" w:rsidR="00197828" w:rsidRPr="001045B7" w:rsidRDefault="00197828" w:rsidP="00197828">
            <w:pPr>
              <w:jc w:val="both"/>
              <w:rPr>
                <w:rFonts w:asciiTheme="minorHAnsi" w:hAnsiTheme="minorHAnsi" w:cstheme="minorHAnsi"/>
                <w:sz w:val="17"/>
                <w:szCs w:val="17"/>
              </w:rPr>
            </w:pPr>
            <w:r w:rsidRPr="001045B7">
              <w:rPr>
                <w:rFonts w:asciiTheme="minorHAnsi" w:hAnsiTheme="minorHAnsi" w:cstheme="minorHAnsi"/>
                <w:sz w:val="17"/>
                <w:szCs w:val="17"/>
              </w:rPr>
              <w:t xml:space="preserve">Museo comunitario de </w:t>
            </w:r>
            <w:r w:rsidR="00C01575" w:rsidRPr="001045B7">
              <w:rPr>
                <w:rFonts w:asciiTheme="minorHAnsi" w:hAnsiTheme="minorHAnsi" w:cstheme="minorHAnsi"/>
                <w:sz w:val="17"/>
                <w:szCs w:val="17"/>
              </w:rPr>
              <w:t>P</w:t>
            </w:r>
            <w:r w:rsidRPr="001045B7">
              <w:rPr>
                <w:rFonts w:asciiTheme="minorHAnsi" w:hAnsiTheme="minorHAnsi" w:cstheme="minorHAnsi"/>
                <w:sz w:val="17"/>
                <w:szCs w:val="17"/>
              </w:rPr>
              <w:t xml:space="preserve">inal de </w:t>
            </w:r>
            <w:r w:rsidR="00C01575" w:rsidRPr="001045B7">
              <w:rPr>
                <w:rFonts w:asciiTheme="minorHAnsi" w:hAnsiTheme="minorHAnsi" w:cstheme="minorHAnsi"/>
                <w:sz w:val="17"/>
                <w:szCs w:val="17"/>
              </w:rPr>
              <w:t>A</w:t>
            </w:r>
            <w:r w:rsidRPr="001045B7">
              <w:rPr>
                <w:rFonts w:asciiTheme="minorHAnsi" w:hAnsiTheme="minorHAnsi" w:cstheme="minorHAnsi"/>
                <w:sz w:val="17"/>
                <w:szCs w:val="17"/>
              </w:rPr>
              <w:t xml:space="preserve">moles </w:t>
            </w:r>
            <w:r w:rsidR="00C01575" w:rsidRPr="001045B7">
              <w:rPr>
                <w:rFonts w:asciiTheme="minorHAnsi" w:hAnsiTheme="minorHAnsi" w:cstheme="minorHAnsi"/>
                <w:sz w:val="17"/>
                <w:szCs w:val="17"/>
              </w:rPr>
              <w:t>G</w:t>
            </w:r>
            <w:r w:rsidRPr="001045B7">
              <w:rPr>
                <w:rFonts w:asciiTheme="minorHAnsi" w:hAnsiTheme="minorHAnsi" w:cstheme="minorHAnsi"/>
                <w:sz w:val="17"/>
                <w:szCs w:val="17"/>
              </w:rPr>
              <w:t xml:space="preserve">eneral </w:t>
            </w:r>
            <w:r w:rsidR="00C01575" w:rsidRPr="001045B7">
              <w:rPr>
                <w:rFonts w:asciiTheme="minorHAnsi" w:hAnsiTheme="minorHAnsi" w:cstheme="minorHAnsi"/>
                <w:sz w:val="17"/>
                <w:szCs w:val="17"/>
              </w:rPr>
              <w:t>T</w:t>
            </w:r>
            <w:r w:rsidRPr="001045B7">
              <w:rPr>
                <w:rFonts w:asciiTheme="minorHAnsi" w:hAnsiTheme="minorHAnsi" w:cstheme="minorHAnsi"/>
                <w:sz w:val="17"/>
                <w:szCs w:val="17"/>
              </w:rPr>
              <w:t xml:space="preserve">omás </w:t>
            </w:r>
            <w:r w:rsidR="00C01575" w:rsidRPr="001045B7">
              <w:rPr>
                <w:rFonts w:asciiTheme="minorHAnsi" w:hAnsiTheme="minorHAnsi" w:cstheme="minorHAnsi"/>
                <w:sz w:val="17"/>
                <w:szCs w:val="17"/>
              </w:rPr>
              <w:t>M</w:t>
            </w:r>
            <w:r w:rsidRPr="001045B7">
              <w:rPr>
                <w:rFonts w:asciiTheme="minorHAnsi" w:hAnsiTheme="minorHAnsi" w:cstheme="minorHAnsi"/>
                <w:sz w:val="17"/>
                <w:szCs w:val="17"/>
              </w:rPr>
              <w:t>ejía</w:t>
            </w:r>
          </w:p>
        </w:tc>
        <w:tc>
          <w:tcPr>
            <w:tcW w:w="1276" w:type="dxa"/>
            <w:shd w:val="clear" w:color="auto" w:fill="auto"/>
            <w:noWrap/>
          </w:tcPr>
          <w:p w14:paraId="72A35991" w14:textId="341DEEBF" w:rsidR="00197828" w:rsidRPr="001045B7" w:rsidRDefault="00197828" w:rsidP="00197828">
            <w:pPr>
              <w:jc w:val="right"/>
              <w:rPr>
                <w:rFonts w:asciiTheme="minorHAnsi" w:hAnsiTheme="minorHAnsi" w:cstheme="minorHAnsi"/>
                <w:sz w:val="17"/>
                <w:szCs w:val="17"/>
              </w:rPr>
            </w:pPr>
            <w:r w:rsidRPr="001045B7">
              <w:rPr>
                <w:rFonts w:asciiTheme="minorHAnsi" w:hAnsiTheme="minorHAnsi" w:cstheme="minorHAnsi"/>
                <w:sz w:val="17"/>
                <w:szCs w:val="17"/>
              </w:rPr>
              <w:t>42,077</w:t>
            </w:r>
          </w:p>
        </w:tc>
      </w:tr>
    </w:tbl>
    <w:p w14:paraId="6ACAF647" w14:textId="78ED819F" w:rsidR="004E2603" w:rsidRPr="001045B7" w:rsidRDefault="004E2603" w:rsidP="008E64C8">
      <w:pPr>
        <w:spacing w:line="276" w:lineRule="auto"/>
        <w:jc w:val="both"/>
        <w:rPr>
          <w:rFonts w:asciiTheme="minorHAnsi" w:hAnsiTheme="minorHAnsi" w:cstheme="minorHAnsi"/>
          <w:b/>
          <w:sz w:val="17"/>
          <w:szCs w:val="17"/>
        </w:rPr>
      </w:pPr>
    </w:p>
    <w:p w14:paraId="4A92B396" w14:textId="25219EE1" w:rsidR="004E2603" w:rsidRPr="001045B7" w:rsidRDefault="004E2603" w:rsidP="008E64C8">
      <w:pPr>
        <w:spacing w:line="276" w:lineRule="auto"/>
        <w:jc w:val="both"/>
        <w:rPr>
          <w:rFonts w:asciiTheme="minorHAnsi" w:hAnsiTheme="minorHAnsi" w:cstheme="minorHAnsi"/>
          <w:b/>
          <w:sz w:val="17"/>
          <w:szCs w:val="17"/>
        </w:rPr>
      </w:pPr>
    </w:p>
    <w:p w14:paraId="3C31AFB5" w14:textId="77777777" w:rsidR="00CB13C9" w:rsidRPr="001045B7" w:rsidRDefault="00CB13C9" w:rsidP="00047267">
      <w:pPr>
        <w:spacing w:line="276" w:lineRule="auto"/>
        <w:jc w:val="both"/>
        <w:rPr>
          <w:rFonts w:asciiTheme="minorHAnsi" w:hAnsiTheme="minorHAnsi" w:cstheme="minorHAnsi"/>
          <w:b/>
          <w:sz w:val="17"/>
          <w:szCs w:val="17"/>
        </w:rPr>
      </w:pPr>
    </w:p>
    <w:p w14:paraId="061A3084" w14:textId="77777777" w:rsidR="00291374" w:rsidRPr="001045B7" w:rsidRDefault="00291374" w:rsidP="002D539E">
      <w:pPr>
        <w:spacing w:line="276" w:lineRule="auto"/>
        <w:jc w:val="both"/>
        <w:rPr>
          <w:rFonts w:asciiTheme="minorHAnsi" w:hAnsiTheme="minorHAnsi" w:cstheme="minorHAnsi"/>
          <w:b/>
          <w:sz w:val="17"/>
          <w:szCs w:val="17"/>
        </w:rPr>
      </w:pPr>
    </w:p>
    <w:p w14:paraId="52D0D276"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5B68A731"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169B3EB0"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63B62A15"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7112D940"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6193FFCA"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06A99E84"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1C97E650"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4F28875B"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2F4B81DD"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6B930FE2"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593C8E7B" w14:textId="77777777" w:rsidR="009A4ED2" w:rsidRPr="001045B7" w:rsidRDefault="009A4ED2" w:rsidP="00860054">
      <w:pPr>
        <w:pStyle w:val="Prrafodelista"/>
        <w:spacing w:line="276" w:lineRule="auto"/>
        <w:ind w:left="1416"/>
        <w:jc w:val="both"/>
        <w:rPr>
          <w:rFonts w:asciiTheme="minorHAnsi" w:hAnsiTheme="minorHAnsi" w:cstheme="minorHAnsi"/>
          <w:b/>
          <w:sz w:val="17"/>
          <w:szCs w:val="17"/>
        </w:rPr>
      </w:pPr>
    </w:p>
    <w:p w14:paraId="355BE0EB" w14:textId="77777777" w:rsidR="009A4ED2" w:rsidRPr="005311D1" w:rsidRDefault="009A4ED2" w:rsidP="005311D1">
      <w:pPr>
        <w:spacing w:line="276" w:lineRule="auto"/>
        <w:jc w:val="both"/>
        <w:rPr>
          <w:rFonts w:asciiTheme="minorHAnsi" w:hAnsiTheme="minorHAnsi" w:cstheme="minorHAnsi"/>
          <w:b/>
          <w:sz w:val="17"/>
          <w:szCs w:val="17"/>
        </w:rPr>
      </w:pPr>
    </w:p>
    <w:p w14:paraId="6C10DA60" w14:textId="0332E68B"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Inventarios</w:t>
      </w:r>
    </w:p>
    <w:p w14:paraId="33AEA244" w14:textId="3FB9AFDD" w:rsidR="00AF6204" w:rsidRPr="001045B7" w:rsidRDefault="00AF6204" w:rsidP="00450B56">
      <w:pPr>
        <w:pStyle w:val="Prrafodelista"/>
        <w:spacing w:line="276" w:lineRule="auto"/>
        <w:ind w:left="0"/>
        <w:rPr>
          <w:rFonts w:asciiTheme="minorHAnsi" w:hAnsiTheme="minorHAnsi" w:cstheme="minorHAnsi"/>
          <w:sz w:val="17"/>
          <w:szCs w:val="17"/>
        </w:rPr>
      </w:pPr>
    </w:p>
    <w:p w14:paraId="75CE69E9" w14:textId="2CD13C6B" w:rsidR="00450B56" w:rsidRPr="001045B7" w:rsidRDefault="00450B56" w:rsidP="00450B56">
      <w:pPr>
        <w:pStyle w:val="Prrafodelista"/>
        <w:spacing w:line="276" w:lineRule="auto"/>
        <w:ind w:left="0"/>
        <w:rPr>
          <w:rFonts w:asciiTheme="minorHAnsi" w:hAnsiTheme="minorHAnsi" w:cstheme="minorHAnsi"/>
          <w:sz w:val="17"/>
          <w:szCs w:val="17"/>
        </w:rPr>
      </w:pPr>
      <w:r w:rsidRPr="001045B7">
        <w:rPr>
          <w:rFonts w:asciiTheme="minorHAnsi" w:hAnsiTheme="minorHAnsi" w:cstheme="minorHAnsi"/>
          <w:sz w:val="17"/>
          <w:szCs w:val="17"/>
        </w:rPr>
        <w:t>Se informa que</w:t>
      </w:r>
      <w:r w:rsidR="0081593C" w:rsidRPr="001045B7">
        <w:rPr>
          <w:rFonts w:asciiTheme="minorHAnsi" w:hAnsiTheme="minorHAnsi" w:cstheme="minorHAnsi"/>
          <w:sz w:val="17"/>
          <w:szCs w:val="17"/>
        </w:rPr>
        <w:t>,</w:t>
      </w:r>
      <w:r w:rsidRPr="001045B7">
        <w:rPr>
          <w:rFonts w:asciiTheme="minorHAnsi" w:hAnsiTheme="minorHAnsi" w:cstheme="minorHAnsi"/>
          <w:sz w:val="17"/>
          <w:szCs w:val="17"/>
        </w:rPr>
        <w:t xml:space="preserve">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0081593C" w:rsidRPr="001045B7">
        <w:rPr>
          <w:rFonts w:asciiTheme="minorHAnsi" w:hAnsiTheme="minorHAnsi" w:cstheme="minorHAnsi"/>
          <w:sz w:val="17"/>
          <w:szCs w:val="17"/>
        </w:rPr>
        <w:t>,</w:t>
      </w:r>
      <w:r w:rsidRPr="001045B7">
        <w:rPr>
          <w:rFonts w:asciiTheme="minorHAnsi" w:hAnsiTheme="minorHAnsi" w:cstheme="minorHAnsi"/>
          <w:sz w:val="17"/>
          <w:szCs w:val="17"/>
        </w:rPr>
        <w:t xml:space="preserve"> no hay nada que manifestar.</w:t>
      </w:r>
    </w:p>
    <w:p w14:paraId="6F8862BE" w14:textId="7E1DD923" w:rsidR="00CB13C9" w:rsidRPr="001045B7" w:rsidRDefault="00CB13C9" w:rsidP="00F82EBB">
      <w:pPr>
        <w:spacing w:line="276" w:lineRule="auto"/>
        <w:jc w:val="both"/>
        <w:rPr>
          <w:rFonts w:asciiTheme="minorHAnsi" w:hAnsiTheme="minorHAnsi" w:cstheme="minorHAnsi"/>
          <w:b/>
          <w:sz w:val="17"/>
          <w:szCs w:val="17"/>
        </w:rPr>
      </w:pPr>
    </w:p>
    <w:p w14:paraId="365C0620" w14:textId="27B540EC"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Almacenes</w:t>
      </w:r>
    </w:p>
    <w:p w14:paraId="04C3A834" w14:textId="78AC22A7" w:rsidR="00450B56" w:rsidRPr="001045B7" w:rsidRDefault="00450B56" w:rsidP="00450B56">
      <w:pPr>
        <w:spacing w:line="276" w:lineRule="auto"/>
        <w:jc w:val="both"/>
        <w:rPr>
          <w:rFonts w:asciiTheme="minorHAnsi" w:hAnsiTheme="minorHAnsi" w:cstheme="minorHAnsi"/>
          <w:sz w:val="17"/>
          <w:szCs w:val="17"/>
        </w:rPr>
      </w:pPr>
    </w:p>
    <w:p w14:paraId="7EBA575A" w14:textId="2C02AB13" w:rsidR="00450B56" w:rsidRPr="001045B7" w:rsidRDefault="00450B56" w:rsidP="00AF6204">
      <w:pPr>
        <w:pStyle w:val="Prrafodelista"/>
        <w:spacing w:line="276" w:lineRule="auto"/>
        <w:ind w:left="0"/>
        <w:rPr>
          <w:rFonts w:asciiTheme="minorHAnsi" w:hAnsiTheme="minorHAnsi" w:cstheme="minorHAnsi"/>
          <w:sz w:val="17"/>
          <w:szCs w:val="17"/>
        </w:rPr>
      </w:pPr>
      <w:r w:rsidRPr="001045B7">
        <w:rPr>
          <w:rFonts w:asciiTheme="minorHAnsi" w:hAnsiTheme="minorHAnsi" w:cstheme="minorHAnsi"/>
          <w:sz w:val="17"/>
          <w:szCs w:val="17"/>
        </w:rPr>
        <w:t>Se informa que</w:t>
      </w:r>
      <w:r w:rsidR="0081593C" w:rsidRPr="001045B7">
        <w:rPr>
          <w:rFonts w:asciiTheme="minorHAnsi" w:hAnsiTheme="minorHAnsi" w:cstheme="minorHAnsi"/>
          <w:sz w:val="17"/>
          <w:szCs w:val="17"/>
        </w:rPr>
        <w:t>,</w:t>
      </w:r>
      <w:r w:rsidRPr="001045B7">
        <w:rPr>
          <w:rFonts w:asciiTheme="minorHAnsi" w:hAnsiTheme="minorHAnsi" w:cstheme="minorHAnsi"/>
          <w:sz w:val="17"/>
          <w:szCs w:val="17"/>
        </w:rPr>
        <w:t xml:space="preserve">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0081593C" w:rsidRPr="001045B7">
        <w:rPr>
          <w:rFonts w:asciiTheme="minorHAnsi" w:hAnsiTheme="minorHAnsi" w:cstheme="minorHAnsi"/>
          <w:sz w:val="17"/>
          <w:szCs w:val="17"/>
        </w:rPr>
        <w:t>,</w:t>
      </w:r>
      <w:r w:rsidRPr="001045B7">
        <w:rPr>
          <w:rFonts w:asciiTheme="minorHAnsi" w:hAnsiTheme="minorHAnsi" w:cstheme="minorHAnsi"/>
          <w:sz w:val="17"/>
          <w:szCs w:val="17"/>
        </w:rPr>
        <w:t xml:space="preserve"> no hay nada que manifestar.</w:t>
      </w:r>
    </w:p>
    <w:p w14:paraId="0D8F4F02" w14:textId="045CC942" w:rsidR="00CB13C9" w:rsidRPr="001045B7" w:rsidRDefault="00CB13C9" w:rsidP="00315ADD">
      <w:pPr>
        <w:spacing w:line="276" w:lineRule="auto"/>
        <w:jc w:val="both"/>
        <w:rPr>
          <w:rFonts w:asciiTheme="minorHAnsi" w:hAnsiTheme="minorHAnsi" w:cstheme="minorHAnsi"/>
          <w:b/>
          <w:sz w:val="17"/>
          <w:szCs w:val="17"/>
        </w:rPr>
      </w:pPr>
    </w:p>
    <w:p w14:paraId="05C5DBD0" w14:textId="699F66B7"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Inversiones Financieras</w:t>
      </w:r>
    </w:p>
    <w:p w14:paraId="4A97F42E" w14:textId="16337A6D" w:rsidR="00450B56" w:rsidRPr="001045B7" w:rsidRDefault="00450B56" w:rsidP="00860054">
      <w:pPr>
        <w:pStyle w:val="Prrafodelista"/>
        <w:spacing w:line="276" w:lineRule="auto"/>
        <w:ind w:left="1416"/>
        <w:jc w:val="both"/>
        <w:rPr>
          <w:rFonts w:asciiTheme="minorHAnsi" w:hAnsiTheme="minorHAnsi" w:cstheme="minorHAnsi"/>
          <w:sz w:val="17"/>
          <w:szCs w:val="17"/>
        </w:rPr>
      </w:pPr>
    </w:p>
    <w:p w14:paraId="5D78E00F" w14:textId="20D060E1" w:rsidR="004C2AC7" w:rsidRPr="001045B7" w:rsidRDefault="00450B56" w:rsidP="004C2AC7">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En este apartado se informa la integración de Inversiones Financieras a Largo Plazo del Poder Ejecutivo del Estado de Querétaro:</w:t>
      </w:r>
    </w:p>
    <w:p w14:paraId="7521527B" w14:textId="77777777" w:rsidR="009A4ED2" w:rsidRPr="001045B7" w:rsidRDefault="009A4ED2" w:rsidP="004C2AC7">
      <w:pPr>
        <w:pStyle w:val="Prrafodelista"/>
        <w:spacing w:line="276" w:lineRule="auto"/>
        <w:ind w:left="0"/>
        <w:jc w:val="both"/>
        <w:rPr>
          <w:rFonts w:asciiTheme="minorHAnsi" w:hAnsiTheme="minorHAnsi" w:cstheme="minorHAnsi"/>
          <w:sz w:val="17"/>
          <w:szCs w:val="17"/>
        </w:rPr>
      </w:pPr>
    </w:p>
    <w:p w14:paraId="50454B2C" w14:textId="0299B31C" w:rsidR="00450B56" w:rsidRPr="001045B7" w:rsidRDefault="00450B56" w:rsidP="004C2AC7">
      <w:pPr>
        <w:pStyle w:val="Prrafodelista"/>
        <w:spacing w:line="276" w:lineRule="auto"/>
        <w:ind w:left="0"/>
        <w:jc w:val="center"/>
        <w:rPr>
          <w:rFonts w:asciiTheme="minorHAnsi" w:hAnsiTheme="minorHAnsi" w:cstheme="minorHAnsi"/>
          <w:sz w:val="17"/>
          <w:szCs w:val="17"/>
        </w:rPr>
      </w:pPr>
      <w:r w:rsidRPr="001045B7">
        <w:rPr>
          <w:rFonts w:asciiTheme="minorHAnsi" w:eastAsia="Calibri" w:hAnsiTheme="minorHAnsi" w:cstheme="minorHAnsi"/>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450B56" w:rsidRPr="001045B7" w14:paraId="505A3BAB"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61B82B"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E313A6" w14:textId="10AD2B42"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75B2D4" w14:textId="16220960" w:rsidR="00450B56"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722E94" w:rsidRPr="001045B7" w14:paraId="0FA5D58D"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30AFE1FE"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Fideicomisos, Mandatos y Contratos Análogos</w:t>
            </w:r>
          </w:p>
        </w:tc>
        <w:tc>
          <w:tcPr>
            <w:tcW w:w="2180" w:type="dxa"/>
            <w:tcBorders>
              <w:top w:val="single" w:sz="4" w:space="0" w:color="auto"/>
              <w:left w:val="nil"/>
              <w:bottom w:val="single" w:sz="4" w:space="0" w:color="auto"/>
              <w:right w:val="single" w:sz="4" w:space="0" w:color="auto"/>
            </w:tcBorders>
            <w:shd w:val="clear" w:color="auto" w:fill="auto"/>
          </w:tcPr>
          <w:p w14:paraId="667DA310" w14:textId="6FC45C0D"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601,997,243 </w:t>
            </w:r>
          </w:p>
        </w:tc>
        <w:tc>
          <w:tcPr>
            <w:tcW w:w="2180" w:type="dxa"/>
            <w:tcBorders>
              <w:top w:val="single" w:sz="4" w:space="0" w:color="auto"/>
              <w:left w:val="nil"/>
              <w:bottom w:val="single" w:sz="4" w:space="0" w:color="auto"/>
              <w:right w:val="single" w:sz="4" w:space="0" w:color="auto"/>
            </w:tcBorders>
            <w:shd w:val="clear" w:color="auto" w:fill="auto"/>
          </w:tcPr>
          <w:p w14:paraId="7CE59C30" w14:textId="03A86706"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2,774,515,034 </w:t>
            </w:r>
          </w:p>
        </w:tc>
      </w:tr>
      <w:tr w:rsidR="00722E94" w:rsidRPr="001045B7" w14:paraId="40DCB1F1"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67FE3C4A"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Participaciones y Aportaciones de Capital</w:t>
            </w:r>
          </w:p>
        </w:tc>
        <w:tc>
          <w:tcPr>
            <w:tcW w:w="2180" w:type="dxa"/>
            <w:tcBorders>
              <w:top w:val="single" w:sz="4" w:space="0" w:color="auto"/>
              <w:left w:val="nil"/>
              <w:bottom w:val="single" w:sz="4" w:space="0" w:color="auto"/>
              <w:right w:val="single" w:sz="4" w:space="0" w:color="auto"/>
            </w:tcBorders>
            <w:shd w:val="clear" w:color="auto" w:fill="auto"/>
          </w:tcPr>
          <w:p w14:paraId="1F5BDA52" w14:textId="2A974092" w:rsidR="00722E94" w:rsidRPr="001045B7" w:rsidRDefault="00AE7619" w:rsidP="00722E94">
            <w:pPr>
              <w:jc w:val="right"/>
              <w:rPr>
                <w:rFonts w:asciiTheme="minorHAnsi" w:hAnsiTheme="minorHAnsi" w:cstheme="minorHAnsi"/>
                <w:sz w:val="17"/>
                <w:szCs w:val="17"/>
              </w:rPr>
            </w:pPr>
            <w:r w:rsidRPr="001045B7">
              <w:rPr>
                <w:rFonts w:asciiTheme="minorHAnsi" w:hAnsiTheme="minorHAnsi" w:cstheme="minorHAnsi"/>
                <w:sz w:val="17"/>
                <w:szCs w:val="17"/>
              </w:rPr>
              <w:t>28,666,564,888</w:t>
            </w:r>
          </w:p>
        </w:tc>
        <w:tc>
          <w:tcPr>
            <w:tcW w:w="2180" w:type="dxa"/>
            <w:tcBorders>
              <w:top w:val="single" w:sz="4" w:space="0" w:color="auto"/>
              <w:left w:val="nil"/>
              <w:bottom w:val="single" w:sz="4" w:space="0" w:color="auto"/>
              <w:right w:val="single" w:sz="4" w:space="0" w:color="auto"/>
            </w:tcBorders>
            <w:shd w:val="clear" w:color="auto" w:fill="auto"/>
          </w:tcPr>
          <w:p w14:paraId="21D343CC" w14:textId="54DE056D"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26,759,436,271 </w:t>
            </w:r>
          </w:p>
        </w:tc>
      </w:tr>
      <w:tr w:rsidR="00722E94" w:rsidRPr="001045B7" w14:paraId="26460311"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A3334E" w14:textId="77777777" w:rsidR="00722E94" w:rsidRPr="001045B7" w:rsidRDefault="00722E94" w:rsidP="00722E9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28F41F7D" w14:textId="5733F9BE" w:rsidR="00722E94" w:rsidRPr="001045B7" w:rsidRDefault="00722E94" w:rsidP="00722E9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w:t>
            </w:r>
            <w:r w:rsidR="00AE7619" w:rsidRPr="001045B7">
              <w:rPr>
                <w:rFonts w:asciiTheme="minorHAnsi" w:hAnsiTheme="minorHAnsi" w:cstheme="minorHAnsi"/>
                <w:b/>
                <w:bCs/>
                <w:sz w:val="17"/>
                <w:szCs w:val="17"/>
              </w:rPr>
              <w:t xml:space="preserve"> 29,268,562,131 </w:t>
            </w:r>
            <w:r w:rsidRPr="001045B7">
              <w:rPr>
                <w:rFonts w:asciiTheme="minorHAnsi" w:hAnsiTheme="minorHAnsi" w:cstheme="minorHAnsi"/>
                <w:b/>
                <w:bCs/>
                <w:sz w:val="17"/>
                <w:szCs w:val="17"/>
              </w:rPr>
              <w:t xml:space="preserve">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68C478" w14:textId="13AC5A32" w:rsidR="00722E94" w:rsidRPr="001045B7" w:rsidRDefault="00722E94" w:rsidP="00722E9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29,533,951,305 </w:t>
            </w:r>
          </w:p>
        </w:tc>
      </w:tr>
    </w:tbl>
    <w:p w14:paraId="4C6A9BED" w14:textId="2B48BA82" w:rsidR="00450B56" w:rsidRPr="001045B7" w:rsidRDefault="00450B56" w:rsidP="00450B56">
      <w:pPr>
        <w:pStyle w:val="Prrafodelista"/>
        <w:spacing w:line="276" w:lineRule="auto"/>
        <w:ind w:left="0"/>
        <w:jc w:val="both"/>
        <w:rPr>
          <w:rFonts w:asciiTheme="minorHAnsi" w:hAnsiTheme="minorHAnsi" w:cstheme="minorHAnsi"/>
          <w:sz w:val="17"/>
          <w:szCs w:val="17"/>
        </w:rPr>
      </w:pPr>
    </w:p>
    <w:p w14:paraId="5B375586" w14:textId="77777777" w:rsidR="009A4ED2" w:rsidRPr="001045B7" w:rsidRDefault="009A4ED2" w:rsidP="00450B56">
      <w:pPr>
        <w:pStyle w:val="Prrafodelista"/>
        <w:spacing w:line="276" w:lineRule="auto"/>
        <w:ind w:left="0"/>
        <w:jc w:val="both"/>
        <w:rPr>
          <w:rFonts w:asciiTheme="minorHAnsi" w:hAnsiTheme="minorHAnsi" w:cstheme="minorHAnsi"/>
          <w:sz w:val="17"/>
          <w:szCs w:val="17"/>
        </w:rPr>
      </w:pPr>
    </w:p>
    <w:p w14:paraId="2027D469" w14:textId="1A66221C"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El saldo que se presenta al </w:t>
      </w:r>
      <w:r w:rsidR="00480687" w:rsidRPr="001045B7">
        <w:rPr>
          <w:rFonts w:asciiTheme="minorHAnsi" w:hAnsiTheme="minorHAnsi" w:cstheme="minorHAnsi"/>
          <w:sz w:val="17"/>
          <w:szCs w:val="17"/>
        </w:rPr>
        <w:t>31 (treinta y uno)</w:t>
      </w:r>
      <w:r w:rsidR="00B4448E" w:rsidRPr="001045B7">
        <w:rPr>
          <w:rFonts w:asciiTheme="minorHAnsi" w:hAnsiTheme="minorHAnsi" w:cstheme="minorHAnsi"/>
          <w:sz w:val="17"/>
          <w:szCs w:val="17"/>
        </w:rPr>
        <w:t xml:space="preserve"> de</w:t>
      </w:r>
      <w:r w:rsidR="00567890" w:rsidRPr="001045B7">
        <w:rPr>
          <w:rFonts w:asciiTheme="minorHAnsi" w:hAnsiTheme="minorHAnsi" w:cstheme="minorHAnsi"/>
          <w:sz w:val="17"/>
          <w:szCs w:val="17"/>
        </w:rPr>
        <w:t xml:space="preserv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en Fideicomisos, Mandatos y Contratos Análogos corresponde al reconocimiento en cuentas de Activo de los Fideicomisos en los cuales el Poder Ejecutivo es Fideicomitente y se integra de la siguiente forma:</w:t>
      </w:r>
    </w:p>
    <w:p w14:paraId="192D639E" w14:textId="4F9EA3D1" w:rsidR="00450B56" w:rsidRPr="001045B7" w:rsidRDefault="00AF6204" w:rsidP="00450B56">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w:t>
      </w:r>
      <w:r w:rsidR="00450B56" w:rsidRPr="001045B7">
        <w:rPr>
          <w:rFonts w:asciiTheme="minorHAnsi" w:eastAsia="Calibri" w:hAnsiTheme="minorHAnsi" w:cstheme="minorHAnsi"/>
          <w:b/>
          <w:spacing w:val="-1"/>
          <w:sz w:val="17"/>
          <w:szCs w:val="17"/>
        </w:rPr>
        <w:t>(Pesos)</w:t>
      </w:r>
    </w:p>
    <w:tbl>
      <w:tblPr>
        <w:tblW w:w="0" w:type="auto"/>
        <w:jc w:val="center"/>
        <w:tblCellMar>
          <w:left w:w="70" w:type="dxa"/>
          <w:right w:w="70" w:type="dxa"/>
        </w:tblCellMar>
        <w:tblLook w:val="04A0" w:firstRow="1" w:lastRow="0" w:firstColumn="1" w:lastColumn="0" w:noHBand="0" w:noVBand="1"/>
      </w:tblPr>
      <w:tblGrid>
        <w:gridCol w:w="7975"/>
        <w:gridCol w:w="1039"/>
      </w:tblGrid>
      <w:tr w:rsidR="00450B56" w:rsidRPr="001045B7" w14:paraId="4B941118" w14:textId="77777777" w:rsidTr="00B71832">
        <w:trPr>
          <w:trHeight w:val="386"/>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5364C2"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Fideicomisos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34D67CF"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720BD7" w:rsidRPr="001045B7" w14:paraId="610CDBFD"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09599" w14:textId="7DC4D82A"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Irrevocable de Administración, Inversión, Garantía y fuente de pago No 592</w:t>
            </w:r>
          </w:p>
        </w:tc>
        <w:tc>
          <w:tcPr>
            <w:tcW w:w="0" w:type="auto"/>
            <w:tcBorders>
              <w:top w:val="single" w:sz="4" w:space="0" w:color="auto"/>
              <w:left w:val="nil"/>
              <w:bottom w:val="single" w:sz="4" w:space="0" w:color="auto"/>
              <w:right w:val="single" w:sz="4" w:space="0" w:color="auto"/>
            </w:tcBorders>
            <w:shd w:val="clear" w:color="auto" w:fill="auto"/>
          </w:tcPr>
          <w:p w14:paraId="3657CAD3" w14:textId="0676D801" w:rsidR="00720BD7" w:rsidRPr="001045B7" w:rsidRDefault="00720BD7" w:rsidP="00720BD7">
            <w:pPr>
              <w:jc w:val="right"/>
              <w:rPr>
                <w:rFonts w:asciiTheme="minorHAnsi" w:hAnsiTheme="minorHAnsi" w:cstheme="minorHAnsi"/>
                <w:sz w:val="17"/>
                <w:szCs w:val="17"/>
              </w:rPr>
            </w:pPr>
            <w:r w:rsidRPr="001045B7">
              <w:rPr>
                <w:rFonts w:asciiTheme="minorHAnsi" w:hAnsiTheme="minorHAnsi" w:cstheme="minorHAnsi"/>
                <w:sz w:val="17"/>
                <w:szCs w:val="17"/>
              </w:rPr>
              <w:t xml:space="preserve"> 1,000 </w:t>
            </w:r>
          </w:p>
        </w:tc>
      </w:tr>
      <w:tr w:rsidR="00720BD7" w:rsidRPr="001045B7" w14:paraId="05F0341F"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062DC" w14:textId="4F8D9A03"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Irrevocable de Administración, Garantía y pago numero 741962</w:t>
            </w:r>
          </w:p>
        </w:tc>
        <w:tc>
          <w:tcPr>
            <w:tcW w:w="0" w:type="auto"/>
            <w:tcBorders>
              <w:top w:val="single" w:sz="4" w:space="0" w:color="auto"/>
              <w:left w:val="nil"/>
              <w:bottom w:val="single" w:sz="4" w:space="0" w:color="auto"/>
              <w:right w:val="single" w:sz="4" w:space="0" w:color="auto"/>
            </w:tcBorders>
            <w:shd w:val="clear" w:color="auto" w:fill="auto"/>
          </w:tcPr>
          <w:p w14:paraId="1DBD659F" w14:textId="1CB63477" w:rsidR="00720BD7" w:rsidRPr="001045B7" w:rsidRDefault="004461EB" w:rsidP="00720BD7">
            <w:pPr>
              <w:jc w:val="right"/>
              <w:rPr>
                <w:rFonts w:asciiTheme="minorHAnsi" w:hAnsiTheme="minorHAnsi" w:cstheme="minorHAnsi"/>
                <w:sz w:val="17"/>
                <w:szCs w:val="17"/>
              </w:rPr>
            </w:pPr>
            <w:r w:rsidRPr="001045B7">
              <w:rPr>
                <w:rFonts w:asciiTheme="minorHAnsi" w:hAnsiTheme="minorHAnsi" w:cstheme="minorHAnsi"/>
                <w:sz w:val="17"/>
                <w:szCs w:val="17"/>
              </w:rPr>
              <w:t>111,760</w:t>
            </w:r>
          </w:p>
        </w:tc>
      </w:tr>
      <w:tr w:rsidR="00720BD7" w:rsidRPr="001045B7" w14:paraId="20AFC1CB"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0C34F1" w14:textId="567C1463"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Fondo de Fomento Agropecuario del Estado de Querétaro (</w:t>
            </w:r>
            <w:proofErr w:type="spellStart"/>
            <w:r w:rsidRPr="001045B7">
              <w:rPr>
                <w:rFonts w:asciiTheme="minorHAnsi" w:hAnsiTheme="minorHAnsi" w:cstheme="minorHAnsi"/>
                <w:sz w:val="17"/>
                <w:szCs w:val="17"/>
              </w:rPr>
              <w:t>FOFAE</w:t>
            </w:r>
            <w:proofErr w:type="spellEnd"/>
            <w:r w:rsidRPr="001045B7">
              <w:rPr>
                <w:rFonts w:asciiTheme="minorHAnsi" w:hAnsiTheme="minorHAnsi" w:cstheme="minorHAnsi"/>
                <w:sz w:val="17"/>
                <w:szCs w:val="17"/>
              </w:rPr>
              <w:t>)</w:t>
            </w:r>
          </w:p>
        </w:tc>
        <w:tc>
          <w:tcPr>
            <w:tcW w:w="0" w:type="auto"/>
            <w:tcBorders>
              <w:top w:val="single" w:sz="4" w:space="0" w:color="auto"/>
              <w:left w:val="nil"/>
              <w:bottom w:val="single" w:sz="4" w:space="0" w:color="auto"/>
              <w:right w:val="single" w:sz="4" w:space="0" w:color="auto"/>
            </w:tcBorders>
            <w:shd w:val="clear" w:color="auto" w:fill="auto"/>
          </w:tcPr>
          <w:p w14:paraId="4E57FDC8" w14:textId="3E3E3221" w:rsidR="00720BD7" w:rsidRPr="001045B7" w:rsidRDefault="004461EB" w:rsidP="00720BD7">
            <w:pPr>
              <w:jc w:val="right"/>
              <w:rPr>
                <w:rFonts w:asciiTheme="minorHAnsi" w:hAnsiTheme="minorHAnsi" w:cstheme="minorHAnsi"/>
                <w:sz w:val="17"/>
                <w:szCs w:val="17"/>
              </w:rPr>
            </w:pPr>
            <w:r w:rsidRPr="001045B7">
              <w:rPr>
                <w:rFonts w:asciiTheme="minorHAnsi" w:hAnsiTheme="minorHAnsi" w:cstheme="minorHAnsi"/>
                <w:sz w:val="17"/>
                <w:szCs w:val="17"/>
              </w:rPr>
              <w:t>111,925</w:t>
            </w:r>
          </w:p>
        </w:tc>
      </w:tr>
      <w:tr w:rsidR="00720BD7" w:rsidRPr="001045B7" w14:paraId="56CE6E1D"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A3DF3" w14:textId="568BDAB7"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Promotor de Turismo en el Estado de Querétaro (</w:t>
            </w:r>
            <w:proofErr w:type="spellStart"/>
            <w:r w:rsidRPr="001045B7">
              <w:rPr>
                <w:rFonts w:asciiTheme="minorHAnsi" w:hAnsiTheme="minorHAnsi" w:cstheme="minorHAnsi"/>
                <w:sz w:val="17"/>
                <w:szCs w:val="17"/>
              </w:rPr>
              <w:t>FIPROTUR</w:t>
            </w:r>
            <w:proofErr w:type="spellEnd"/>
            <w:r w:rsidRPr="001045B7">
              <w:rPr>
                <w:rFonts w:asciiTheme="minorHAnsi" w:hAnsiTheme="minorHAnsi" w:cstheme="minorHAnsi"/>
                <w:sz w:val="17"/>
                <w:szCs w:val="17"/>
              </w:rPr>
              <w:t>)</w:t>
            </w:r>
          </w:p>
        </w:tc>
        <w:tc>
          <w:tcPr>
            <w:tcW w:w="0" w:type="auto"/>
            <w:tcBorders>
              <w:top w:val="single" w:sz="4" w:space="0" w:color="auto"/>
              <w:left w:val="nil"/>
              <w:bottom w:val="single" w:sz="4" w:space="0" w:color="auto"/>
              <w:right w:val="single" w:sz="4" w:space="0" w:color="auto"/>
            </w:tcBorders>
            <w:shd w:val="clear" w:color="auto" w:fill="auto"/>
          </w:tcPr>
          <w:p w14:paraId="4B174567" w14:textId="21280B5F" w:rsidR="00720BD7" w:rsidRPr="001045B7" w:rsidRDefault="004461EB" w:rsidP="00720BD7">
            <w:pPr>
              <w:jc w:val="right"/>
              <w:rPr>
                <w:rFonts w:asciiTheme="minorHAnsi" w:hAnsiTheme="minorHAnsi" w:cstheme="minorHAnsi"/>
                <w:sz w:val="17"/>
                <w:szCs w:val="17"/>
              </w:rPr>
            </w:pPr>
            <w:r w:rsidRPr="001045B7">
              <w:rPr>
                <w:rFonts w:asciiTheme="minorHAnsi" w:hAnsiTheme="minorHAnsi" w:cstheme="minorHAnsi"/>
                <w:sz w:val="17"/>
                <w:szCs w:val="17"/>
              </w:rPr>
              <w:t>2,593,460</w:t>
            </w:r>
          </w:p>
        </w:tc>
      </w:tr>
      <w:tr w:rsidR="00720BD7" w:rsidRPr="001045B7" w14:paraId="251D94A0"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32560" w14:textId="493C040A"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Ciudad Industrial Benito Juárez (</w:t>
            </w:r>
            <w:proofErr w:type="spellStart"/>
            <w:r w:rsidRPr="001045B7">
              <w:rPr>
                <w:rFonts w:asciiTheme="minorHAnsi" w:hAnsiTheme="minorHAnsi" w:cstheme="minorHAnsi"/>
                <w:sz w:val="17"/>
                <w:szCs w:val="17"/>
              </w:rPr>
              <w:t>FIDEQRO</w:t>
            </w:r>
            <w:proofErr w:type="spellEnd"/>
            <w:r w:rsidRPr="001045B7">
              <w:rPr>
                <w:rFonts w:asciiTheme="minorHAnsi" w:hAnsiTheme="minorHAnsi" w:cstheme="minorHAnsi"/>
                <w:sz w:val="17"/>
                <w:szCs w:val="17"/>
              </w:rPr>
              <w:t>)</w:t>
            </w:r>
          </w:p>
        </w:tc>
        <w:tc>
          <w:tcPr>
            <w:tcW w:w="0" w:type="auto"/>
            <w:tcBorders>
              <w:top w:val="single" w:sz="4" w:space="0" w:color="auto"/>
              <w:left w:val="nil"/>
              <w:bottom w:val="single" w:sz="4" w:space="0" w:color="auto"/>
              <w:right w:val="single" w:sz="4" w:space="0" w:color="auto"/>
            </w:tcBorders>
            <w:shd w:val="clear" w:color="auto" w:fill="auto"/>
          </w:tcPr>
          <w:p w14:paraId="1E9DC1B9" w14:textId="324B3C9F" w:rsidR="00720BD7" w:rsidRPr="001045B7" w:rsidRDefault="00955D69" w:rsidP="00720BD7">
            <w:pPr>
              <w:jc w:val="right"/>
              <w:rPr>
                <w:rFonts w:asciiTheme="minorHAnsi" w:hAnsiTheme="minorHAnsi" w:cstheme="minorHAnsi"/>
                <w:sz w:val="17"/>
                <w:szCs w:val="17"/>
              </w:rPr>
            </w:pPr>
            <w:r w:rsidRPr="001045B7">
              <w:rPr>
                <w:rFonts w:asciiTheme="minorHAnsi" w:hAnsiTheme="minorHAnsi" w:cstheme="minorHAnsi"/>
                <w:sz w:val="17"/>
                <w:szCs w:val="17"/>
              </w:rPr>
              <w:t>618,030</w:t>
            </w:r>
          </w:p>
        </w:tc>
      </w:tr>
      <w:tr w:rsidR="00720BD7" w:rsidRPr="001045B7" w14:paraId="7CA09116"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4D351" w14:textId="69C14D7D"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Fondo de Diversificación Productiva en la Sierra Gorda</w:t>
            </w:r>
          </w:p>
        </w:tc>
        <w:tc>
          <w:tcPr>
            <w:tcW w:w="0" w:type="auto"/>
            <w:tcBorders>
              <w:top w:val="single" w:sz="4" w:space="0" w:color="auto"/>
              <w:left w:val="nil"/>
              <w:bottom w:val="single" w:sz="4" w:space="0" w:color="auto"/>
              <w:right w:val="single" w:sz="4" w:space="0" w:color="auto"/>
            </w:tcBorders>
            <w:shd w:val="clear" w:color="auto" w:fill="auto"/>
          </w:tcPr>
          <w:p w14:paraId="275B8240" w14:textId="1D04A8A4" w:rsidR="00720BD7" w:rsidRPr="001045B7" w:rsidRDefault="00955D69" w:rsidP="00720BD7">
            <w:pPr>
              <w:jc w:val="right"/>
              <w:rPr>
                <w:rFonts w:asciiTheme="minorHAnsi" w:hAnsiTheme="minorHAnsi" w:cstheme="minorHAnsi"/>
                <w:sz w:val="17"/>
                <w:szCs w:val="17"/>
              </w:rPr>
            </w:pPr>
            <w:r w:rsidRPr="001045B7">
              <w:rPr>
                <w:rFonts w:asciiTheme="minorHAnsi" w:hAnsiTheme="minorHAnsi" w:cstheme="minorHAnsi"/>
                <w:sz w:val="17"/>
                <w:szCs w:val="17"/>
              </w:rPr>
              <w:t>1,335,608</w:t>
            </w:r>
          </w:p>
        </w:tc>
      </w:tr>
      <w:tr w:rsidR="00720BD7" w:rsidRPr="001045B7" w14:paraId="6A81B48F"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AEFE7" w14:textId="474D4152"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de Garantía para Proyectos Productivos del Estado de Querétaro (</w:t>
            </w:r>
            <w:proofErr w:type="spellStart"/>
            <w:r w:rsidRPr="001045B7">
              <w:rPr>
                <w:rFonts w:asciiTheme="minorHAnsi" w:hAnsiTheme="minorHAnsi" w:cstheme="minorHAnsi"/>
                <w:sz w:val="17"/>
                <w:szCs w:val="17"/>
              </w:rPr>
              <w:t>FIGAPPEQ</w:t>
            </w:r>
            <w:proofErr w:type="spellEnd"/>
            <w:r w:rsidRPr="001045B7">
              <w:rPr>
                <w:rFonts w:asciiTheme="minorHAnsi" w:hAnsiTheme="minorHAnsi" w:cstheme="minorHAnsi"/>
                <w:sz w:val="17"/>
                <w:szCs w:val="17"/>
              </w:rPr>
              <w:t>)</w:t>
            </w:r>
          </w:p>
        </w:tc>
        <w:tc>
          <w:tcPr>
            <w:tcW w:w="0" w:type="auto"/>
            <w:tcBorders>
              <w:top w:val="single" w:sz="4" w:space="0" w:color="auto"/>
              <w:left w:val="nil"/>
              <w:bottom w:val="single" w:sz="4" w:space="0" w:color="auto"/>
              <w:right w:val="single" w:sz="4" w:space="0" w:color="auto"/>
            </w:tcBorders>
            <w:shd w:val="clear" w:color="auto" w:fill="auto"/>
          </w:tcPr>
          <w:p w14:paraId="6E0254F2" w14:textId="57963165" w:rsidR="00720BD7" w:rsidRPr="001045B7" w:rsidRDefault="004461EB" w:rsidP="00720BD7">
            <w:pPr>
              <w:jc w:val="right"/>
              <w:rPr>
                <w:rFonts w:asciiTheme="minorHAnsi" w:hAnsiTheme="minorHAnsi" w:cstheme="minorHAnsi"/>
                <w:sz w:val="17"/>
                <w:szCs w:val="17"/>
              </w:rPr>
            </w:pPr>
            <w:r w:rsidRPr="001045B7">
              <w:rPr>
                <w:rFonts w:asciiTheme="minorHAnsi" w:hAnsiTheme="minorHAnsi" w:cstheme="minorHAnsi"/>
                <w:sz w:val="17"/>
                <w:szCs w:val="17"/>
              </w:rPr>
              <w:t>21,330,665</w:t>
            </w:r>
          </w:p>
        </w:tc>
      </w:tr>
      <w:tr w:rsidR="00720BD7" w:rsidRPr="001045B7" w14:paraId="2786A30C"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8BA7A" w14:textId="0BD4E1C5" w:rsidR="00720BD7" w:rsidRPr="001045B7" w:rsidRDefault="00720BD7" w:rsidP="00720BD7">
            <w:pPr>
              <w:rPr>
                <w:rFonts w:asciiTheme="minorHAnsi" w:hAnsiTheme="minorHAnsi" w:cstheme="minorHAnsi"/>
                <w:sz w:val="17"/>
                <w:szCs w:val="17"/>
              </w:rPr>
            </w:pPr>
            <w:r w:rsidRPr="001045B7">
              <w:rPr>
                <w:rFonts w:asciiTheme="minorHAnsi" w:hAnsiTheme="minorHAnsi" w:cstheme="minorHAnsi"/>
                <w:sz w:val="17"/>
                <w:szCs w:val="17"/>
              </w:rPr>
              <w:t>Fideicomiso 851-03021 BANREGIO (Fondo Estabilización de Ingresos)</w:t>
            </w:r>
          </w:p>
        </w:tc>
        <w:tc>
          <w:tcPr>
            <w:tcW w:w="0" w:type="auto"/>
            <w:tcBorders>
              <w:top w:val="single" w:sz="4" w:space="0" w:color="auto"/>
              <w:left w:val="nil"/>
              <w:bottom w:val="single" w:sz="4" w:space="0" w:color="auto"/>
              <w:right w:val="single" w:sz="4" w:space="0" w:color="auto"/>
            </w:tcBorders>
            <w:shd w:val="clear" w:color="auto" w:fill="auto"/>
          </w:tcPr>
          <w:p w14:paraId="3D169CB5" w14:textId="1D7D6B34" w:rsidR="00720BD7" w:rsidRPr="001045B7" w:rsidRDefault="004461EB" w:rsidP="00720BD7">
            <w:pPr>
              <w:jc w:val="right"/>
              <w:rPr>
                <w:rFonts w:asciiTheme="minorHAnsi" w:hAnsiTheme="minorHAnsi" w:cstheme="minorHAnsi"/>
                <w:sz w:val="17"/>
                <w:szCs w:val="17"/>
              </w:rPr>
            </w:pPr>
            <w:r w:rsidRPr="001045B7">
              <w:rPr>
                <w:rFonts w:asciiTheme="minorHAnsi" w:hAnsiTheme="minorHAnsi" w:cstheme="minorHAnsi"/>
                <w:sz w:val="17"/>
                <w:szCs w:val="17"/>
              </w:rPr>
              <w:t xml:space="preserve">10,014,357 </w:t>
            </w:r>
            <w:r w:rsidR="00720BD7" w:rsidRPr="001045B7">
              <w:rPr>
                <w:rFonts w:asciiTheme="minorHAnsi" w:hAnsiTheme="minorHAnsi" w:cstheme="minorHAnsi"/>
                <w:sz w:val="17"/>
                <w:szCs w:val="17"/>
              </w:rPr>
              <w:t xml:space="preserve"> </w:t>
            </w:r>
          </w:p>
        </w:tc>
      </w:tr>
      <w:tr w:rsidR="004461EB" w:rsidRPr="001045B7" w14:paraId="795290BF"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29CE49" w14:textId="0531E967" w:rsidR="004461EB" w:rsidRPr="001045B7" w:rsidRDefault="004461EB" w:rsidP="004461EB">
            <w:pPr>
              <w:rPr>
                <w:rFonts w:asciiTheme="minorHAnsi" w:hAnsiTheme="minorHAnsi" w:cstheme="minorHAnsi"/>
                <w:sz w:val="17"/>
                <w:szCs w:val="17"/>
              </w:rPr>
            </w:pPr>
            <w:r w:rsidRPr="001045B7">
              <w:rPr>
                <w:rFonts w:asciiTheme="minorHAnsi" w:hAnsiTheme="minorHAnsi" w:cstheme="minorHAnsi"/>
                <w:sz w:val="17"/>
                <w:szCs w:val="17"/>
              </w:rPr>
              <w:t xml:space="preserve">Fideicomiso </w:t>
            </w:r>
            <w:proofErr w:type="spellStart"/>
            <w:r w:rsidRPr="001045B7">
              <w:rPr>
                <w:rFonts w:asciiTheme="minorHAnsi" w:hAnsiTheme="minorHAnsi" w:cstheme="minorHAnsi"/>
                <w:sz w:val="17"/>
                <w:szCs w:val="17"/>
              </w:rPr>
              <w:t>BP19223</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BANCREA</w:t>
            </w:r>
            <w:proofErr w:type="spellEnd"/>
            <w:r w:rsidRPr="001045B7">
              <w:rPr>
                <w:rFonts w:asciiTheme="minorHAnsi" w:hAnsiTheme="minorHAnsi" w:cstheme="minorHAnsi"/>
                <w:sz w:val="17"/>
                <w:szCs w:val="17"/>
              </w:rPr>
              <w:t xml:space="preserve"> (Impulsor e Inversión)</w:t>
            </w:r>
          </w:p>
        </w:tc>
        <w:tc>
          <w:tcPr>
            <w:tcW w:w="0" w:type="auto"/>
            <w:tcBorders>
              <w:top w:val="single" w:sz="4" w:space="0" w:color="auto"/>
              <w:left w:val="nil"/>
              <w:bottom w:val="single" w:sz="4" w:space="0" w:color="auto"/>
              <w:right w:val="single" w:sz="4" w:space="0" w:color="auto"/>
            </w:tcBorders>
            <w:shd w:val="clear" w:color="auto" w:fill="auto"/>
          </w:tcPr>
          <w:p w14:paraId="25DBB8F0" w14:textId="0ED84D01" w:rsidR="004461EB" w:rsidRPr="001045B7" w:rsidRDefault="004461EB" w:rsidP="004461EB">
            <w:pPr>
              <w:jc w:val="right"/>
              <w:rPr>
                <w:rFonts w:asciiTheme="minorHAnsi" w:hAnsiTheme="minorHAnsi" w:cstheme="minorHAnsi"/>
                <w:sz w:val="17"/>
                <w:szCs w:val="17"/>
              </w:rPr>
            </w:pPr>
            <w:r w:rsidRPr="001045B7">
              <w:rPr>
                <w:rFonts w:asciiTheme="minorHAnsi" w:hAnsiTheme="minorHAnsi" w:cstheme="minorHAnsi"/>
                <w:sz w:val="17"/>
                <w:szCs w:val="17"/>
              </w:rPr>
              <w:t xml:space="preserve"> 10,010,000 </w:t>
            </w:r>
          </w:p>
        </w:tc>
      </w:tr>
      <w:tr w:rsidR="004461EB" w:rsidRPr="001045B7" w14:paraId="410D3EDB"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7ED1D" w14:textId="56065485" w:rsidR="004461EB" w:rsidRPr="001045B7" w:rsidRDefault="004461EB" w:rsidP="004461EB">
            <w:pPr>
              <w:rPr>
                <w:rFonts w:asciiTheme="minorHAnsi" w:hAnsiTheme="minorHAnsi" w:cstheme="minorHAnsi"/>
                <w:sz w:val="17"/>
                <w:szCs w:val="17"/>
              </w:rPr>
            </w:pPr>
            <w:r w:rsidRPr="001045B7">
              <w:rPr>
                <w:rFonts w:asciiTheme="minorHAnsi" w:hAnsiTheme="minorHAnsi" w:cstheme="minorHAnsi"/>
                <w:sz w:val="17"/>
                <w:szCs w:val="17"/>
              </w:rPr>
              <w:t xml:space="preserve">Fideicomiso </w:t>
            </w:r>
            <w:proofErr w:type="spellStart"/>
            <w:r w:rsidRPr="001045B7">
              <w:rPr>
                <w:rFonts w:asciiTheme="minorHAnsi" w:hAnsiTheme="minorHAnsi" w:cstheme="minorHAnsi"/>
                <w:sz w:val="17"/>
                <w:szCs w:val="17"/>
              </w:rPr>
              <w:t>BP19323</w:t>
            </w:r>
            <w:proofErr w:type="spellEnd"/>
            <w:r w:rsidRPr="001045B7">
              <w:rPr>
                <w:rFonts w:asciiTheme="minorHAnsi" w:hAnsiTheme="minorHAnsi" w:cstheme="minorHAnsi"/>
                <w:sz w:val="17"/>
                <w:szCs w:val="17"/>
              </w:rPr>
              <w:t xml:space="preserve"> </w:t>
            </w:r>
            <w:proofErr w:type="spellStart"/>
            <w:r w:rsidRPr="001045B7">
              <w:rPr>
                <w:rFonts w:asciiTheme="minorHAnsi" w:hAnsiTheme="minorHAnsi" w:cstheme="minorHAnsi"/>
                <w:sz w:val="17"/>
                <w:szCs w:val="17"/>
              </w:rPr>
              <w:t>BANCREA</w:t>
            </w:r>
            <w:proofErr w:type="spellEnd"/>
            <w:r w:rsidRPr="001045B7">
              <w:rPr>
                <w:rFonts w:asciiTheme="minorHAnsi" w:hAnsiTheme="minorHAnsi" w:cstheme="minorHAnsi"/>
                <w:sz w:val="17"/>
                <w:szCs w:val="17"/>
              </w:rPr>
              <w:t xml:space="preserve"> (Pensiones y Jubilaciones)</w:t>
            </w:r>
          </w:p>
        </w:tc>
        <w:tc>
          <w:tcPr>
            <w:tcW w:w="0" w:type="auto"/>
            <w:tcBorders>
              <w:top w:val="single" w:sz="4" w:space="0" w:color="auto"/>
              <w:left w:val="nil"/>
              <w:bottom w:val="single" w:sz="4" w:space="0" w:color="auto"/>
              <w:right w:val="single" w:sz="4" w:space="0" w:color="auto"/>
            </w:tcBorders>
            <w:shd w:val="clear" w:color="auto" w:fill="auto"/>
          </w:tcPr>
          <w:p w14:paraId="4CA069F2" w14:textId="258153D6" w:rsidR="004461EB" w:rsidRPr="001045B7" w:rsidRDefault="004461EB" w:rsidP="004461EB">
            <w:pPr>
              <w:jc w:val="right"/>
              <w:rPr>
                <w:rFonts w:asciiTheme="minorHAnsi" w:hAnsiTheme="minorHAnsi" w:cstheme="minorHAnsi"/>
                <w:sz w:val="17"/>
                <w:szCs w:val="17"/>
              </w:rPr>
            </w:pPr>
            <w:r w:rsidRPr="001045B7">
              <w:rPr>
                <w:rFonts w:asciiTheme="minorHAnsi" w:hAnsiTheme="minorHAnsi" w:cstheme="minorHAnsi"/>
                <w:sz w:val="17"/>
                <w:szCs w:val="17"/>
              </w:rPr>
              <w:t xml:space="preserve"> 555,820,430 </w:t>
            </w:r>
          </w:p>
        </w:tc>
      </w:tr>
      <w:tr w:rsidR="00720BD7" w:rsidRPr="001045B7" w14:paraId="5D2906D3" w14:textId="77777777" w:rsidTr="00B71832">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13E83" w14:textId="2FE15F5A" w:rsidR="00720BD7" w:rsidRPr="001045B7" w:rsidRDefault="00C62F17" w:rsidP="00720BD7">
            <w:pPr>
              <w:rPr>
                <w:rFonts w:asciiTheme="minorHAnsi" w:hAnsiTheme="minorHAnsi" w:cstheme="minorHAnsi"/>
                <w:sz w:val="17"/>
                <w:szCs w:val="17"/>
              </w:rPr>
            </w:pPr>
            <w:r w:rsidRPr="001045B7">
              <w:rPr>
                <w:rFonts w:asciiTheme="minorHAnsi" w:hAnsiTheme="minorHAnsi" w:cstheme="minorHAnsi"/>
                <w:sz w:val="17"/>
                <w:szCs w:val="17"/>
              </w:rPr>
              <w:t>Fideicomiso Públi</w:t>
            </w:r>
            <w:r w:rsidR="003F5CC1" w:rsidRPr="001045B7">
              <w:rPr>
                <w:rFonts w:asciiTheme="minorHAnsi" w:hAnsiTheme="minorHAnsi" w:cstheme="minorHAnsi"/>
                <w:sz w:val="17"/>
                <w:szCs w:val="17"/>
              </w:rPr>
              <w:t>co</w:t>
            </w:r>
            <w:r w:rsidRPr="001045B7">
              <w:rPr>
                <w:rFonts w:asciiTheme="minorHAnsi" w:hAnsiTheme="minorHAnsi" w:cstheme="minorHAnsi"/>
                <w:sz w:val="17"/>
                <w:szCs w:val="17"/>
              </w:rPr>
              <w:t xml:space="preserve"> de Inversión, Administración y Fuente de Pago No 2287 "Paso Superior Vehicular los </w:t>
            </w:r>
            <w:proofErr w:type="spellStart"/>
            <w:r w:rsidRPr="001045B7">
              <w:rPr>
                <w:rFonts w:asciiTheme="minorHAnsi" w:hAnsiTheme="minorHAnsi" w:cstheme="minorHAnsi"/>
                <w:sz w:val="17"/>
                <w:szCs w:val="17"/>
              </w:rPr>
              <w:t>Benitos</w:t>
            </w:r>
            <w:proofErr w:type="spellEnd"/>
            <w:r w:rsidRPr="001045B7">
              <w:rPr>
                <w:rFonts w:asciiTheme="minorHAnsi" w:hAnsiTheme="minorHAnsi" w:cstheme="minorHAnsi"/>
                <w:sz w:val="17"/>
                <w:szCs w:val="17"/>
              </w:rPr>
              <w:t>"</w:t>
            </w:r>
          </w:p>
        </w:tc>
        <w:tc>
          <w:tcPr>
            <w:tcW w:w="0" w:type="auto"/>
            <w:tcBorders>
              <w:top w:val="single" w:sz="4" w:space="0" w:color="auto"/>
              <w:left w:val="nil"/>
              <w:bottom w:val="single" w:sz="4" w:space="0" w:color="auto"/>
              <w:right w:val="single" w:sz="4" w:space="0" w:color="auto"/>
            </w:tcBorders>
            <w:shd w:val="clear" w:color="auto" w:fill="auto"/>
          </w:tcPr>
          <w:p w14:paraId="6037F118" w14:textId="77801074" w:rsidR="00720BD7" w:rsidRPr="001045B7" w:rsidRDefault="00C62F17" w:rsidP="00720BD7">
            <w:pPr>
              <w:jc w:val="right"/>
              <w:rPr>
                <w:rFonts w:asciiTheme="minorHAnsi" w:hAnsiTheme="minorHAnsi" w:cstheme="minorHAnsi"/>
                <w:sz w:val="17"/>
                <w:szCs w:val="17"/>
              </w:rPr>
            </w:pPr>
            <w:r w:rsidRPr="001045B7">
              <w:rPr>
                <w:rFonts w:asciiTheme="minorHAnsi" w:hAnsiTheme="minorHAnsi" w:cstheme="minorHAnsi"/>
                <w:sz w:val="17"/>
                <w:szCs w:val="17"/>
              </w:rPr>
              <w:t>50,007</w:t>
            </w:r>
          </w:p>
        </w:tc>
      </w:tr>
      <w:tr w:rsidR="00450B56" w:rsidRPr="001045B7" w14:paraId="46695510" w14:textId="77777777" w:rsidTr="00B71832">
        <w:trPr>
          <w:trHeight w:val="240"/>
          <w:jc w:val="center"/>
        </w:trPr>
        <w:tc>
          <w:tcPr>
            <w:tcW w:w="0" w:type="auto"/>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09F7B614" w14:textId="77777777" w:rsidR="00450B56" w:rsidRPr="001045B7" w:rsidRDefault="00450B56" w:rsidP="00001825">
            <w:pPr>
              <w:jc w:val="cente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10E68B" w14:textId="71E02EFA" w:rsidR="00450B56" w:rsidRPr="001045B7" w:rsidRDefault="00955D69" w:rsidP="00001825">
            <w:pPr>
              <w:jc w:val="right"/>
              <w:rPr>
                <w:rFonts w:asciiTheme="minorHAnsi" w:hAnsiTheme="minorHAnsi" w:cstheme="minorHAnsi"/>
                <w:b/>
                <w:sz w:val="17"/>
                <w:szCs w:val="17"/>
              </w:rPr>
            </w:pPr>
            <w:r w:rsidRPr="001045B7">
              <w:rPr>
                <w:rFonts w:asciiTheme="minorHAnsi" w:hAnsiTheme="minorHAnsi" w:cstheme="minorHAnsi"/>
                <w:b/>
                <w:sz w:val="17"/>
                <w:szCs w:val="17"/>
              </w:rPr>
              <w:t>601,997,243</w:t>
            </w:r>
          </w:p>
        </w:tc>
      </w:tr>
    </w:tbl>
    <w:p w14:paraId="5706E9D5" w14:textId="3555D9A3" w:rsidR="00AF6204" w:rsidRPr="001045B7" w:rsidRDefault="00AF6204" w:rsidP="00450B56">
      <w:pPr>
        <w:pStyle w:val="Prrafodelista"/>
        <w:spacing w:line="276" w:lineRule="auto"/>
        <w:ind w:left="0"/>
        <w:jc w:val="both"/>
        <w:rPr>
          <w:rFonts w:asciiTheme="minorHAnsi" w:hAnsiTheme="minorHAnsi" w:cstheme="minorHAnsi"/>
          <w:sz w:val="17"/>
          <w:szCs w:val="17"/>
        </w:rPr>
      </w:pPr>
    </w:p>
    <w:p w14:paraId="415DDC49" w14:textId="77777777" w:rsidR="009A4ED2" w:rsidRPr="001045B7" w:rsidRDefault="009A4ED2" w:rsidP="004C2AC7">
      <w:pPr>
        <w:pStyle w:val="Prrafodelista"/>
        <w:spacing w:line="276" w:lineRule="auto"/>
        <w:ind w:left="0"/>
        <w:jc w:val="both"/>
        <w:rPr>
          <w:rFonts w:asciiTheme="minorHAnsi" w:hAnsiTheme="minorHAnsi" w:cstheme="minorHAnsi"/>
          <w:sz w:val="17"/>
          <w:szCs w:val="17"/>
        </w:rPr>
      </w:pPr>
    </w:p>
    <w:p w14:paraId="3A4396D7" w14:textId="6033E791" w:rsidR="009A4ED2" w:rsidRDefault="009A4ED2" w:rsidP="004C2AC7">
      <w:pPr>
        <w:pStyle w:val="Prrafodelista"/>
        <w:spacing w:line="276" w:lineRule="auto"/>
        <w:ind w:left="0"/>
        <w:jc w:val="both"/>
        <w:rPr>
          <w:rFonts w:asciiTheme="minorHAnsi" w:hAnsiTheme="minorHAnsi" w:cstheme="minorHAnsi"/>
          <w:sz w:val="17"/>
          <w:szCs w:val="17"/>
        </w:rPr>
      </w:pPr>
    </w:p>
    <w:p w14:paraId="42478463" w14:textId="77777777" w:rsidR="005311D1" w:rsidRPr="001045B7" w:rsidRDefault="005311D1" w:rsidP="004C2AC7">
      <w:pPr>
        <w:pStyle w:val="Prrafodelista"/>
        <w:spacing w:line="276" w:lineRule="auto"/>
        <w:ind w:left="0"/>
        <w:jc w:val="both"/>
        <w:rPr>
          <w:rFonts w:asciiTheme="minorHAnsi" w:hAnsiTheme="minorHAnsi" w:cstheme="minorHAnsi"/>
          <w:sz w:val="17"/>
          <w:szCs w:val="17"/>
        </w:rPr>
      </w:pPr>
    </w:p>
    <w:p w14:paraId="38249CC3" w14:textId="77777777" w:rsidR="009A4ED2" w:rsidRPr="001045B7" w:rsidRDefault="009A4ED2" w:rsidP="004C2AC7">
      <w:pPr>
        <w:pStyle w:val="Prrafodelista"/>
        <w:spacing w:line="276" w:lineRule="auto"/>
        <w:ind w:left="0"/>
        <w:jc w:val="both"/>
        <w:rPr>
          <w:rFonts w:asciiTheme="minorHAnsi" w:hAnsiTheme="minorHAnsi" w:cstheme="minorHAnsi"/>
          <w:sz w:val="17"/>
          <w:szCs w:val="17"/>
        </w:rPr>
      </w:pPr>
    </w:p>
    <w:p w14:paraId="509B6113" w14:textId="6F9EB4F0" w:rsidR="004C2AC7" w:rsidRPr="001045B7" w:rsidRDefault="00450B56" w:rsidP="004C2AC7">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Se informa la integración del saldo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de la cuenta Participaciones y Aportaciones de Capital:</w:t>
      </w:r>
    </w:p>
    <w:p w14:paraId="36903BB2" w14:textId="77777777" w:rsidR="009A4ED2" w:rsidRPr="001045B7" w:rsidRDefault="009A4ED2" w:rsidP="004C2AC7">
      <w:pPr>
        <w:pStyle w:val="Prrafodelista"/>
        <w:spacing w:line="276" w:lineRule="auto"/>
        <w:ind w:left="0"/>
        <w:jc w:val="both"/>
        <w:rPr>
          <w:rFonts w:asciiTheme="minorHAnsi" w:hAnsiTheme="minorHAnsi" w:cstheme="minorHAnsi"/>
          <w:sz w:val="17"/>
          <w:szCs w:val="17"/>
        </w:rPr>
      </w:pPr>
    </w:p>
    <w:p w14:paraId="4842C02C" w14:textId="70218294" w:rsidR="00450B56" w:rsidRPr="001045B7" w:rsidRDefault="00450B56" w:rsidP="004C2AC7">
      <w:pPr>
        <w:pStyle w:val="Prrafodelista"/>
        <w:spacing w:line="276" w:lineRule="auto"/>
        <w:ind w:left="5664" w:firstLine="708"/>
        <w:jc w:val="both"/>
        <w:rPr>
          <w:rFonts w:asciiTheme="minorHAnsi" w:hAnsiTheme="minorHAnsi" w:cstheme="minorHAnsi"/>
          <w:sz w:val="17"/>
          <w:szCs w:val="17"/>
        </w:rPr>
      </w:pPr>
      <w:r w:rsidRPr="001045B7">
        <w:rPr>
          <w:rFonts w:asciiTheme="minorHAnsi" w:eastAsia="Calibri" w:hAnsiTheme="minorHAnsi" w:cstheme="minorHAnsi"/>
          <w:b/>
          <w:spacing w:val="-1"/>
          <w:sz w:val="17"/>
          <w:szCs w:val="17"/>
        </w:rPr>
        <w:t>(Pesos)</w:t>
      </w:r>
    </w:p>
    <w:tbl>
      <w:tblPr>
        <w:tblW w:w="5949" w:type="dxa"/>
        <w:tblInd w:w="3809" w:type="dxa"/>
        <w:tblCellMar>
          <w:left w:w="70" w:type="dxa"/>
          <w:right w:w="70" w:type="dxa"/>
        </w:tblCellMar>
        <w:tblLook w:val="04A0" w:firstRow="1" w:lastRow="0" w:firstColumn="1" w:lastColumn="0" w:noHBand="0" w:noVBand="1"/>
      </w:tblPr>
      <w:tblGrid>
        <w:gridCol w:w="4390"/>
        <w:gridCol w:w="1559"/>
      </w:tblGrid>
      <w:tr w:rsidR="00450B56" w:rsidRPr="001045B7" w14:paraId="42731A29" w14:textId="77777777" w:rsidTr="00001825">
        <w:trPr>
          <w:trHeight w:val="240"/>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D321A4"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BE5943" w14:textId="77777777" w:rsidR="00450B56" w:rsidRPr="001045B7" w:rsidRDefault="00450B5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722E94" w:rsidRPr="001045B7" w14:paraId="1A99958E" w14:textId="77777777" w:rsidTr="00001825">
        <w:trPr>
          <w:trHeight w:val="133"/>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54BF60EC"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Centro Sur, S.A. de C.V.</w:t>
            </w:r>
          </w:p>
        </w:tc>
        <w:tc>
          <w:tcPr>
            <w:tcW w:w="1559" w:type="dxa"/>
            <w:tcBorders>
              <w:top w:val="single" w:sz="4" w:space="0" w:color="auto"/>
              <w:left w:val="nil"/>
              <w:bottom w:val="single" w:sz="4" w:space="0" w:color="auto"/>
              <w:right w:val="single" w:sz="4" w:space="0" w:color="auto"/>
            </w:tcBorders>
            <w:shd w:val="clear" w:color="auto" w:fill="auto"/>
            <w:hideMark/>
          </w:tcPr>
          <w:p w14:paraId="4CF62942" w14:textId="506B7F40"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159,989,750 </w:t>
            </w:r>
          </w:p>
        </w:tc>
      </w:tr>
      <w:tr w:rsidR="00722E94" w:rsidRPr="001045B7" w14:paraId="18E03DCC" w14:textId="77777777" w:rsidTr="00001825">
        <w:trPr>
          <w:trHeight w:val="139"/>
        </w:trPr>
        <w:tc>
          <w:tcPr>
            <w:tcW w:w="4390" w:type="dxa"/>
            <w:tcBorders>
              <w:top w:val="nil"/>
              <w:left w:val="single" w:sz="4" w:space="0" w:color="auto"/>
              <w:bottom w:val="single" w:sz="4" w:space="0" w:color="auto"/>
              <w:right w:val="single" w:sz="4" w:space="0" w:color="auto"/>
            </w:tcBorders>
            <w:shd w:val="clear" w:color="auto" w:fill="auto"/>
            <w:hideMark/>
          </w:tcPr>
          <w:p w14:paraId="110B347E"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Participación en Paraestatales</w:t>
            </w:r>
          </w:p>
        </w:tc>
        <w:tc>
          <w:tcPr>
            <w:tcW w:w="1559" w:type="dxa"/>
            <w:tcBorders>
              <w:top w:val="nil"/>
              <w:left w:val="nil"/>
              <w:bottom w:val="single" w:sz="4" w:space="0" w:color="auto"/>
              <w:right w:val="single" w:sz="4" w:space="0" w:color="auto"/>
            </w:tcBorders>
            <w:shd w:val="clear" w:color="auto" w:fill="auto"/>
            <w:hideMark/>
          </w:tcPr>
          <w:p w14:paraId="75E97952" w14:textId="795E16BE"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w:t>
            </w:r>
            <w:r w:rsidR="00164611" w:rsidRPr="001045B7">
              <w:rPr>
                <w:rFonts w:asciiTheme="minorHAnsi" w:hAnsiTheme="minorHAnsi" w:cstheme="minorHAnsi"/>
                <w:sz w:val="17"/>
                <w:szCs w:val="17"/>
              </w:rPr>
              <w:t xml:space="preserve"> 28,506,575,138</w:t>
            </w:r>
          </w:p>
        </w:tc>
      </w:tr>
      <w:tr w:rsidR="00722E94" w:rsidRPr="001045B7" w14:paraId="10A04D5C" w14:textId="77777777" w:rsidTr="00001825">
        <w:trPr>
          <w:trHeight w:val="240"/>
        </w:trPr>
        <w:tc>
          <w:tcPr>
            <w:tcW w:w="439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6DAF6A16" w14:textId="77777777" w:rsidR="00722E94" w:rsidRPr="001045B7" w:rsidRDefault="00722E94" w:rsidP="00722E9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85C9EC" w14:textId="3FE20BEE" w:rsidR="00722E94" w:rsidRPr="001045B7" w:rsidRDefault="00722E94" w:rsidP="00722E9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w:t>
            </w:r>
            <w:r w:rsidR="00164611" w:rsidRPr="001045B7">
              <w:rPr>
                <w:rFonts w:asciiTheme="minorHAnsi" w:hAnsiTheme="minorHAnsi" w:cstheme="minorHAnsi"/>
                <w:b/>
                <w:bCs/>
                <w:sz w:val="17"/>
                <w:szCs w:val="17"/>
              </w:rPr>
              <w:t xml:space="preserve"> 28,666,564,888</w:t>
            </w:r>
          </w:p>
        </w:tc>
      </w:tr>
    </w:tbl>
    <w:p w14:paraId="2DE82AA4" w14:textId="77777777" w:rsidR="009A4ED2" w:rsidRPr="001045B7" w:rsidRDefault="009A4ED2" w:rsidP="00450B56">
      <w:pPr>
        <w:pStyle w:val="Prrafodelista"/>
        <w:spacing w:line="276" w:lineRule="auto"/>
        <w:ind w:left="0"/>
        <w:jc w:val="both"/>
        <w:rPr>
          <w:rFonts w:asciiTheme="minorHAnsi" w:hAnsiTheme="minorHAnsi" w:cstheme="minorHAnsi"/>
          <w:sz w:val="17"/>
          <w:szCs w:val="17"/>
        </w:rPr>
      </w:pPr>
    </w:p>
    <w:p w14:paraId="0FE1687B" w14:textId="564EF3B4" w:rsidR="00450B56"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Respecto a la aportación vinculada a Centro Sur S.A. de C.V., la información se reporta al año 2016 (dos mil dieciséis), conforme a los últimos estados financieros dictaminados y proporcionados por la propia moral de acuerdo al último capital reportado por la sociedad en la asamblea, sin que a la fecha exista actualización de documentación soporte que ampare </w:t>
      </w:r>
      <w:r w:rsidR="00A62EB2" w:rsidRPr="001045B7">
        <w:rPr>
          <w:rFonts w:asciiTheme="minorHAnsi" w:hAnsiTheme="minorHAnsi" w:cstheme="minorHAnsi"/>
          <w:sz w:val="17"/>
          <w:szCs w:val="17"/>
        </w:rPr>
        <w:t xml:space="preserve">el movimiento de las cantidades, durante el </w:t>
      </w:r>
      <w:r w:rsidR="00467973" w:rsidRPr="001045B7">
        <w:rPr>
          <w:rFonts w:asciiTheme="minorHAnsi" w:hAnsiTheme="minorHAnsi" w:cstheme="minorHAnsi"/>
          <w:sz w:val="17"/>
          <w:szCs w:val="17"/>
        </w:rPr>
        <w:t>cuarto</w:t>
      </w:r>
      <w:r w:rsidR="00DD0434" w:rsidRPr="001045B7">
        <w:rPr>
          <w:rFonts w:asciiTheme="minorHAnsi" w:hAnsiTheme="minorHAnsi" w:cstheme="minorHAnsi"/>
          <w:sz w:val="17"/>
          <w:szCs w:val="17"/>
        </w:rPr>
        <w:t xml:space="preserve"> trimestre</w:t>
      </w:r>
      <w:r w:rsidR="00A62EB2" w:rsidRPr="001045B7">
        <w:rPr>
          <w:rFonts w:asciiTheme="minorHAnsi" w:hAnsiTheme="minorHAnsi" w:cstheme="minorHAnsi"/>
          <w:sz w:val="17"/>
          <w:szCs w:val="17"/>
        </w:rPr>
        <w:t xml:space="preserve"> se solicitó el estatus </w:t>
      </w:r>
      <w:r w:rsidR="003177EA" w:rsidRPr="001045B7">
        <w:rPr>
          <w:rFonts w:asciiTheme="minorHAnsi" w:hAnsiTheme="minorHAnsi" w:cstheme="minorHAnsi"/>
          <w:sz w:val="17"/>
          <w:szCs w:val="17"/>
        </w:rPr>
        <w:t>y la información para actualizar la aportación.</w:t>
      </w:r>
    </w:p>
    <w:p w14:paraId="0FB46B79" w14:textId="77777777" w:rsidR="009C438F" w:rsidRPr="001045B7" w:rsidRDefault="009C438F" w:rsidP="00450B56">
      <w:pPr>
        <w:pStyle w:val="Prrafodelista"/>
        <w:spacing w:line="276" w:lineRule="auto"/>
        <w:ind w:left="0"/>
        <w:jc w:val="both"/>
        <w:rPr>
          <w:rFonts w:asciiTheme="minorHAnsi" w:hAnsiTheme="minorHAnsi" w:cstheme="minorHAnsi"/>
          <w:sz w:val="17"/>
          <w:szCs w:val="17"/>
        </w:rPr>
      </w:pPr>
    </w:p>
    <w:p w14:paraId="727307B4" w14:textId="0BC3BF1C" w:rsidR="00CB13C9" w:rsidRPr="001045B7" w:rsidRDefault="00450B56"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la integración del saldo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de la cuenta </w:t>
      </w:r>
      <w:r w:rsidR="00001825" w:rsidRPr="001045B7">
        <w:rPr>
          <w:rFonts w:asciiTheme="minorHAnsi" w:hAnsiTheme="minorHAnsi" w:cstheme="minorHAnsi"/>
          <w:sz w:val="17"/>
          <w:szCs w:val="17"/>
        </w:rPr>
        <w:t>Derechos a Recibir Efectivo o Equivalentes a Largo Plazo:</w:t>
      </w:r>
    </w:p>
    <w:p w14:paraId="1AA33F2F" w14:textId="77777777" w:rsidR="00001825" w:rsidRPr="001045B7" w:rsidRDefault="00001825" w:rsidP="00001825">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pPr w:leftFromText="141" w:rightFromText="141" w:vertAnchor="text" w:horzAnchor="margin" w:tblpXSpec="center" w:tblpY="62"/>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2"/>
        <w:gridCol w:w="1228"/>
      </w:tblGrid>
      <w:tr w:rsidR="00001825" w:rsidRPr="001045B7" w14:paraId="2FB5D0BB" w14:textId="77777777" w:rsidTr="00001825">
        <w:trPr>
          <w:trHeight w:val="225"/>
        </w:trPr>
        <w:tc>
          <w:tcPr>
            <w:tcW w:w="3952" w:type="dxa"/>
            <w:shd w:val="clear" w:color="auto" w:fill="BFBFBF" w:themeFill="background1" w:themeFillShade="BF"/>
            <w:vAlign w:val="center"/>
            <w:hideMark/>
          </w:tcPr>
          <w:p w14:paraId="6E1AB375" w14:textId="77777777" w:rsidR="00001825" w:rsidRPr="001045B7" w:rsidRDefault="00001825" w:rsidP="00001825">
            <w:pPr>
              <w:ind w:left="918" w:hanging="918"/>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1228" w:type="dxa"/>
            <w:shd w:val="clear" w:color="auto" w:fill="BFBFBF" w:themeFill="background1" w:themeFillShade="BF"/>
            <w:vAlign w:val="center"/>
            <w:hideMark/>
          </w:tcPr>
          <w:p w14:paraId="11637615"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001825" w:rsidRPr="001045B7" w14:paraId="52FB0C8C" w14:textId="77777777" w:rsidTr="00001825">
        <w:trPr>
          <w:trHeight w:val="225"/>
        </w:trPr>
        <w:tc>
          <w:tcPr>
            <w:tcW w:w="3952" w:type="dxa"/>
            <w:shd w:val="clear" w:color="auto" w:fill="auto"/>
            <w:vAlign w:val="center"/>
            <w:hideMark/>
          </w:tcPr>
          <w:p w14:paraId="6D156C40" w14:textId="77777777" w:rsidR="00001825" w:rsidRPr="001045B7" w:rsidRDefault="00001825" w:rsidP="00001825">
            <w:pPr>
              <w:jc w:val="both"/>
              <w:rPr>
                <w:rFonts w:asciiTheme="minorHAnsi" w:hAnsiTheme="minorHAnsi" w:cstheme="minorHAnsi"/>
                <w:color w:val="000000"/>
                <w:sz w:val="17"/>
                <w:szCs w:val="17"/>
              </w:rPr>
            </w:pPr>
            <w:r w:rsidRPr="001045B7">
              <w:rPr>
                <w:rFonts w:asciiTheme="minorHAnsi" w:hAnsiTheme="minorHAnsi" w:cstheme="minorHAnsi"/>
                <w:color w:val="000000"/>
                <w:sz w:val="17"/>
                <w:szCs w:val="17"/>
              </w:rPr>
              <w:t>Constructora COSS BU S.A. DE C.V.</w:t>
            </w:r>
          </w:p>
        </w:tc>
        <w:tc>
          <w:tcPr>
            <w:tcW w:w="1228" w:type="dxa"/>
            <w:shd w:val="clear" w:color="auto" w:fill="auto"/>
            <w:noWrap/>
            <w:vAlign w:val="center"/>
            <w:hideMark/>
          </w:tcPr>
          <w:p w14:paraId="69E6B6AD" w14:textId="77777777" w:rsidR="00001825" w:rsidRPr="001045B7" w:rsidRDefault="00001825" w:rsidP="00001825">
            <w:pPr>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30,125,394</w:t>
            </w:r>
          </w:p>
        </w:tc>
      </w:tr>
    </w:tbl>
    <w:p w14:paraId="2B40FCAE" w14:textId="1CB216B9" w:rsidR="00001825" w:rsidRPr="001045B7" w:rsidRDefault="00001825" w:rsidP="00450B56">
      <w:pPr>
        <w:pStyle w:val="Prrafodelista"/>
        <w:spacing w:line="276" w:lineRule="auto"/>
        <w:ind w:left="0"/>
        <w:jc w:val="both"/>
        <w:rPr>
          <w:rFonts w:asciiTheme="minorHAnsi" w:hAnsiTheme="minorHAnsi" w:cstheme="minorHAnsi"/>
          <w:sz w:val="17"/>
          <w:szCs w:val="17"/>
        </w:rPr>
      </w:pPr>
    </w:p>
    <w:p w14:paraId="771E7F5C" w14:textId="3969D7FF" w:rsidR="00001825" w:rsidRPr="001045B7" w:rsidRDefault="00001825" w:rsidP="00450B56">
      <w:pPr>
        <w:pStyle w:val="Prrafodelista"/>
        <w:spacing w:line="276" w:lineRule="auto"/>
        <w:ind w:left="0"/>
        <w:jc w:val="both"/>
        <w:rPr>
          <w:rFonts w:asciiTheme="minorHAnsi" w:hAnsiTheme="minorHAnsi" w:cstheme="minorHAnsi"/>
          <w:sz w:val="17"/>
          <w:szCs w:val="17"/>
        </w:rPr>
      </w:pPr>
    </w:p>
    <w:p w14:paraId="535ECF22" w14:textId="77777777" w:rsidR="009C438F" w:rsidRPr="001045B7" w:rsidRDefault="009C438F" w:rsidP="00450B56">
      <w:pPr>
        <w:pStyle w:val="Prrafodelista"/>
        <w:spacing w:line="276" w:lineRule="auto"/>
        <w:ind w:left="0"/>
        <w:jc w:val="both"/>
        <w:rPr>
          <w:rFonts w:asciiTheme="minorHAnsi" w:hAnsiTheme="minorHAnsi" w:cstheme="minorHAnsi"/>
          <w:sz w:val="17"/>
          <w:szCs w:val="17"/>
        </w:rPr>
      </w:pPr>
    </w:p>
    <w:p w14:paraId="2166696A" w14:textId="77777777" w:rsidR="009A4ED2" w:rsidRPr="001045B7" w:rsidRDefault="009A4ED2" w:rsidP="00450B56">
      <w:pPr>
        <w:pStyle w:val="Prrafodelista"/>
        <w:spacing w:line="276" w:lineRule="auto"/>
        <w:ind w:left="0"/>
        <w:jc w:val="both"/>
        <w:rPr>
          <w:rFonts w:asciiTheme="minorHAnsi" w:hAnsiTheme="minorHAnsi" w:cstheme="minorHAnsi"/>
          <w:sz w:val="17"/>
          <w:szCs w:val="17"/>
        </w:rPr>
      </w:pPr>
    </w:p>
    <w:p w14:paraId="3B4CB0B4" w14:textId="0713E5E0" w:rsidR="00001825" w:rsidRPr="001045B7" w:rsidRDefault="00001825" w:rsidP="00450B5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El saldo que se presenta en las cuentas por cobrar a largo plazo obedece al contratista Constructora COSS BU S.A. de C.V. deriva de un procedimiento legal. </w:t>
      </w:r>
      <w:r w:rsidR="00A62EB2" w:rsidRPr="001045B7">
        <w:rPr>
          <w:rFonts w:asciiTheme="minorHAnsi" w:hAnsiTheme="minorHAnsi" w:cstheme="minorHAnsi"/>
          <w:sz w:val="17"/>
          <w:szCs w:val="17"/>
        </w:rPr>
        <w:t>Se solicitó el estatus que guarda dicho procedimiento a</w:t>
      </w:r>
      <w:r w:rsidRPr="001045B7">
        <w:rPr>
          <w:rFonts w:asciiTheme="minorHAnsi" w:hAnsiTheme="minorHAnsi" w:cstheme="minorHAnsi"/>
          <w:sz w:val="17"/>
          <w:szCs w:val="17"/>
        </w:rPr>
        <w:t xml:space="preserve"> través de la Secretaría de Desarrollo Urbano y Obras Públicas se están llevando las acciones administrativas y legales conducentes para obtención de la devolución del anticipo y ejecución de la fianza respectiva.</w:t>
      </w:r>
    </w:p>
    <w:p w14:paraId="641D23D4" w14:textId="77777777" w:rsidR="00362C88" w:rsidRPr="001045B7" w:rsidRDefault="00362C88" w:rsidP="00450B56">
      <w:pPr>
        <w:pStyle w:val="Prrafodelista"/>
        <w:spacing w:line="276" w:lineRule="auto"/>
        <w:ind w:left="0"/>
        <w:jc w:val="both"/>
        <w:rPr>
          <w:rFonts w:asciiTheme="minorHAnsi" w:hAnsiTheme="minorHAnsi" w:cstheme="minorHAnsi"/>
          <w:sz w:val="17"/>
          <w:szCs w:val="17"/>
        </w:rPr>
      </w:pPr>
    </w:p>
    <w:p w14:paraId="229F976F" w14:textId="77777777" w:rsidR="009C438F" w:rsidRPr="001045B7" w:rsidRDefault="009C438F" w:rsidP="00450B56">
      <w:pPr>
        <w:pStyle w:val="Prrafodelista"/>
        <w:spacing w:line="276" w:lineRule="auto"/>
        <w:ind w:left="0"/>
        <w:jc w:val="both"/>
        <w:rPr>
          <w:rFonts w:asciiTheme="minorHAnsi" w:hAnsiTheme="minorHAnsi" w:cstheme="minorHAnsi"/>
          <w:sz w:val="17"/>
          <w:szCs w:val="17"/>
        </w:rPr>
      </w:pPr>
    </w:p>
    <w:p w14:paraId="3650DE5E" w14:textId="3BB20991"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Bienes Muebles, Inmuebles e Intangibles</w:t>
      </w:r>
    </w:p>
    <w:p w14:paraId="0AB8501C" w14:textId="0148B16E" w:rsidR="00CB13C9" w:rsidRPr="001045B7" w:rsidRDefault="00CB13C9" w:rsidP="00F52BD4">
      <w:pPr>
        <w:spacing w:line="276" w:lineRule="auto"/>
        <w:jc w:val="both"/>
        <w:rPr>
          <w:rFonts w:asciiTheme="minorHAnsi" w:hAnsiTheme="minorHAnsi" w:cstheme="minorHAnsi"/>
          <w:sz w:val="17"/>
          <w:szCs w:val="17"/>
        </w:rPr>
      </w:pPr>
    </w:p>
    <w:p w14:paraId="22824A7E" w14:textId="37171627" w:rsidR="00CB13C9"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por cuenta, el rubro de Bienes Inmuebles, Infraestructura y Construcciones en Proceso,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2F67614D" w14:textId="77777777" w:rsidR="00001825" w:rsidRPr="001045B7" w:rsidRDefault="00001825" w:rsidP="00001825">
      <w:pPr>
        <w:pStyle w:val="Prrafodelista"/>
        <w:spacing w:before="80" w:line="250" w:lineRule="exact"/>
        <w:ind w:left="6381"/>
        <w:jc w:val="both"/>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743"/>
        <w:gridCol w:w="2091"/>
        <w:gridCol w:w="2148"/>
      </w:tblGrid>
      <w:tr w:rsidR="00001825" w:rsidRPr="001045B7" w14:paraId="76D80A84" w14:textId="77777777" w:rsidTr="00001825">
        <w:trPr>
          <w:trHeight w:val="389"/>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0C8743"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ADE955" w14:textId="0A1A2C15"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DD5378" w14:textId="31655F70"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722E94" w:rsidRPr="001045B7" w14:paraId="75450B78"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591867AE" w14:textId="77777777" w:rsidR="00722E94" w:rsidRPr="001045B7" w:rsidRDefault="00722E94" w:rsidP="00722E94">
            <w:pP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Terrenos</w:t>
            </w:r>
          </w:p>
        </w:tc>
        <w:tc>
          <w:tcPr>
            <w:tcW w:w="2091" w:type="dxa"/>
            <w:tcBorders>
              <w:top w:val="single" w:sz="4" w:space="0" w:color="auto"/>
              <w:left w:val="nil"/>
              <w:bottom w:val="single" w:sz="4" w:space="0" w:color="auto"/>
              <w:right w:val="single" w:sz="4" w:space="0" w:color="auto"/>
            </w:tcBorders>
            <w:shd w:val="clear" w:color="auto" w:fill="auto"/>
          </w:tcPr>
          <w:p w14:paraId="184E76A0" w14:textId="6727F9B5"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2,062,438,225 </w:t>
            </w:r>
          </w:p>
        </w:tc>
        <w:tc>
          <w:tcPr>
            <w:tcW w:w="2148" w:type="dxa"/>
            <w:tcBorders>
              <w:top w:val="nil"/>
              <w:left w:val="single" w:sz="4" w:space="0" w:color="auto"/>
              <w:bottom w:val="single" w:sz="4" w:space="0" w:color="auto"/>
              <w:right w:val="single" w:sz="4" w:space="0" w:color="auto"/>
            </w:tcBorders>
            <w:shd w:val="clear" w:color="auto" w:fill="auto"/>
          </w:tcPr>
          <w:p w14:paraId="152987A2" w14:textId="3476D99C"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2,597,642,389 </w:t>
            </w:r>
          </w:p>
        </w:tc>
      </w:tr>
      <w:tr w:rsidR="00722E94" w:rsidRPr="001045B7" w14:paraId="76DA5067"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74D5EE94" w14:textId="77777777" w:rsidR="00722E94" w:rsidRPr="001045B7" w:rsidRDefault="00722E94" w:rsidP="00722E94">
            <w:pP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Viviendas</w:t>
            </w:r>
          </w:p>
        </w:tc>
        <w:tc>
          <w:tcPr>
            <w:tcW w:w="2091" w:type="dxa"/>
            <w:tcBorders>
              <w:top w:val="single" w:sz="4" w:space="0" w:color="auto"/>
              <w:left w:val="nil"/>
              <w:bottom w:val="single" w:sz="4" w:space="0" w:color="auto"/>
              <w:right w:val="single" w:sz="4" w:space="0" w:color="auto"/>
            </w:tcBorders>
            <w:shd w:val="clear" w:color="auto" w:fill="auto"/>
          </w:tcPr>
          <w:p w14:paraId="4E2EAADC" w14:textId="2CDE381C"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21,098,886 </w:t>
            </w:r>
          </w:p>
        </w:tc>
        <w:tc>
          <w:tcPr>
            <w:tcW w:w="2148" w:type="dxa"/>
            <w:tcBorders>
              <w:top w:val="nil"/>
              <w:left w:val="single" w:sz="4" w:space="0" w:color="auto"/>
              <w:bottom w:val="single" w:sz="4" w:space="0" w:color="auto"/>
              <w:right w:val="single" w:sz="4" w:space="0" w:color="auto"/>
            </w:tcBorders>
            <w:shd w:val="clear" w:color="auto" w:fill="auto"/>
          </w:tcPr>
          <w:p w14:paraId="6F5DA6F1" w14:textId="08C4A52E"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7,548,117 </w:t>
            </w:r>
          </w:p>
        </w:tc>
      </w:tr>
      <w:tr w:rsidR="00722E94" w:rsidRPr="001045B7" w14:paraId="7C2CE6E0"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304B6C24" w14:textId="77777777" w:rsidR="00722E94" w:rsidRPr="001045B7" w:rsidRDefault="00722E94" w:rsidP="00722E94">
            <w:pP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Edificios no Habitacionales</w:t>
            </w:r>
          </w:p>
        </w:tc>
        <w:tc>
          <w:tcPr>
            <w:tcW w:w="2091" w:type="dxa"/>
            <w:tcBorders>
              <w:top w:val="single" w:sz="4" w:space="0" w:color="auto"/>
              <w:left w:val="nil"/>
              <w:bottom w:val="single" w:sz="4" w:space="0" w:color="auto"/>
              <w:right w:val="single" w:sz="4" w:space="0" w:color="auto"/>
            </w:tcBorders>
            <w:shd w:val="clear" w:color="auto" w:fill="auto"/>
          </w:tcPr>
          <w:p w14:paraId="58806A22" w14:textId="06B37432"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5,226,807,333 </w:t>
            </w:r>
          </w:p>
        </w:tc>
        <w:tc>
          <w:tcPr>
            <w:tcW w:w="2148" w:type="dxa"/>
            <w:tcBorders>
              <w:top w:val="nil"/>
              <w:left w:val="single" w:sz="4" w:space="0" w:color="auto"/>
              <w:bottom w:val="single" w:sz="4" w:space="0" w:color="auto"/>
              <w:right w:val="single" w:sz="4" w:space="0" w:color="auto"/>
            </w:tcBorders>
            <w:shd w:val="clear" w:color="auto" w:fill="auto"/>
          </w:tcPr>
          <w:p w14:paraId="51747803" w14:textId="3EDAA8C4"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4,719,262,546 </w:t>
            </w:r>
          </w:p>
        </w:tc>
      </w:tr>
      <w:tr w:rsidR="00722E94" w:rsidRPr="001045B7" w14:paraId="222CD699"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61A20CC5" w14:textId="77777777" w:rsidR="00722E94" w:rsidRPr="001045B7" w:rsidRDefault="00722E94" w:rsidP="00722E94">
            <w:pP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Infraestructura</w:t>
            </w:r>
          </w:p>
        </w:tc>
        <w:tc>
          <w:tcPr>
            <w:tcW w:w="2091" w:type="dxa"/>
            <w:tcBorders>
              <w:top w:val="single" w:sz="4" w:space="0" w:color="auto"/>
              <w:left w:val="nil"/>
              <w:bottom w:val="single" w:sz="4" w:space="0" w:color="auto"/>
              <w:right w:val="single" w:sz="4" w:space="0" w:color="auto"/>
            </w:tcBorders>
            <w:shd w:val="clear" w:color="auto" w:fill="auto"/>
          </w:tcPr>
          <w:p w14:paraId="20D0C2E7" w14:textId="5AAB7608"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1,272,652,345 </w:t>
            </w:r>
          </w:p>
        </w:tc>
        <w:tc>
          <w:tcPr>
            <w:tcW w:w="2148" w:type="dxa"/>
            <w:tcBorders>
              <w:top w:val="nil"/>
              <w:left w:val="single" w:sz="4" w:space="0" w:color="auto"/>
              <w:bottom w:val="single" w:sz="4" w:space="0" w:color="auto"/>
              <w:right w:val="single" w:sz="4" w:space="0" w:color="auto"/>
            </w:tcBorders>
            <w:shd w:val="clear" w:color="auto" w:fill="auto"/>
          </w:tcPr>
          <w:p w14:paraId="03D1C986" w14:textId="59D44480"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850,351,626 </w:t>
            </w:r>
          </w:p>
        </w:tc>
      </w:tr>
      <w:tr w:rsidR="00722E94" w:rsidRPr="001045B7" w14:paraId="499CE4D9"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2D3178E9" w14:textId="77777777" w:rsidR="00722E94" w:rsidRPr="001045B7" w:rsidRDefault="00722E94" w:rsidP="00722E94">
            <w:pP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Construcciones en Proceso en Bienes de Dominio Público</w:t>
            </w:r>
          </w:p>
        </w:tc>
        <w:tc>
          <w:tcPr>
            <w:tcW w:w="2091" w:type="dxa"/>
            <w:tcBorders>
              <w:top w:val="single" w:sz="4" w:space="0" w:color="auto"/>
              <w:left w:val="nil"/>
              <w:bottom w:val="single" w:sz="4" w:space="0" w:color="auto"/>
              <w:right w:val="single" w:sz="4" w:space="0" w:color="auto"/>
            </w:tcBorders>
            <w:shd w:val="clear" w:color="auto" w:fill="auto"/>
          </w:tcPr>
          <w:p w14:paraId="5DF84781" w14:textId="32A19212"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3,979,492,522 </w:t>
            </w:r>
          </w:p>
        </w:tc>
        <w:tc>
          <w:tcPr>
            <w:tcW w:w="2148" w:type="dxa"/>
            <w:tcBorders>
              <w:top w:val="nil"/>
              <w:left w:val="single" w:sz="4" w:space="0" w:color="auto"/>
              <w:bottom w:val="single" w:sz="4" w:space="0" w:color="auto"/>
              <w:right w:val="single" w:sz="4" w:space="0" w:color="auto"/>
            </w:tcBorders>
            <w:shd w:val="clear" w:color="auto" w:fill="auto"/>
          </w:tcPr>
          <w:p w14:paraId="18DBF6EF" w14:textId="3291428E"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1,612,748,388 </w:t>
            </w:r>
          </w:p>
        </w:tc>
      </w:tr>
      <w:tr w:rsidR="00722E94" w:rsidRPr="001045B7" w14:paraId="61F2A541"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tcPr>
          <w:p w14:paraId="23043140"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Construcciones en Proceso en Bienes Propios</w:t>
            </w:r>
          </w:p>
        </w:tc>
        <w:tc>
          <w:tcPr>
            <w:tcW w:w="2091" w:type="dxa"/>
            <w:tcBorders>
              <w:top w:val="single" w:sz="4" w:space="0" w:color="auto"/>
              <w:left w:val="nil"/>
              <w:bottom w:val="single" w:sz="4" w:space="0" w:color="auto"/>
              <w:right w:val="single" w:sz="4" w:space="0" w:color="auto"/>
            </w:tcBorders>
            <w:shd w:val="clear" w:color="auto" w:fill="auto"/>
          </w:tcPr>
          <w:p w14:paraId="72E2249C" w14:textId="34C31234"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68A375FF" w14:textId="628D40EE"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722E94" w:rsidRPr="001045B7" w14:paraId="620342B6"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tcPr>
          <w:p w14:paraId="34BAA4DA" w14:textId="77777777" w:rsidR="00722E94" w:rsidRPr="001045B7" w:rsidRDefault="00722E94" w:rsidP="00722E94">
            <w:pPr>
              <w:rPr>
                <w:rFonts w:asciiTheme="minorHAnsi" w:hAnsiTheme="minorHAnsi" w:cstheme="minorHAnsi"/>
                <w:sz w:val="17"/>
                <w:szCs w:val="17"/>
              </w:rPr>
            </w:pPr>
            <w:r w:rsidRPr="001045B7">
              <w:rPr>
                <w:rFonts w:asciiTheme="minorHAnsi" w:hAnsiTheme="minorHAnsi" w:cstheme="minorHAnsi"/>
                <w:sz w:val="17"/>
                <w:szCs w:val="17"/>
              </w:rPr>
              <w:t>Otros Bienes Inmuebles</w:t>
            </w:r>
          </w:p>
        </w:tc>
        <w:tc>
          <w:tcPr>
            <w:tcW w:w="2091" w:type="dxa"/>
            <w:tcBorders>
              <w:top w:val="single" w:sz="4" w:space="0" w:color="auto"/>
              <w:left w:val="nil"/>
              <w:bottom w:val="single" w:sz="4" w:space="0" w:color="auto"/>
              <w:right w:val="single" w:sz="4" w:space="0" w:color="auto"/>
            </w:tcBorders>
            <w:shd w:val="clear" w:color="auto" w:fill="auto"/>
          </w:tcPr>
          <w:p w14:paraId="77530ACB" w14:textId="1B1DF120"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47D21883" w14:textId="415E28F5" w:rsidR="00722E94" w:rsidRPr="001045B7" w:rsidRDefault="00722E94" w:rsidP="00722E9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722E94" w:rsidRPr="001045B7" w14:paraId="2B8E2CC7" w14:textId="77777777" w:rsidTr="00001825">
        <w:trPr>
          <w:trHeight w:val="240"/>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33A40" w14:textId="77777777" w:rsidR="00722E94" w:rsidRPr="001045B7" w:rsidRDefault="00722E94" w:rsidP="00722E9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E85F1" w14:textId="05D5EA37" w:rsidR="00722E94" w:rsidRPr="001045B7" w:rsidRDefault="00722E94" w:rsidP="00722E9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12,562,489,311 </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5161C" w14:textId="24877494" w:rsidR="00722E94" w:rsidRPr="001045B7" w:rsidRDefault="00722E94" w:rsidP="00722E9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9,787,553,065 </w:t>
            </w:r>
          </w:p>
        </w:tc>
      </w:tr>
    </w:tbl>
    <w:p w14:paraId="4BB530B4" w14:textId="5367B991" w:rsidR="00001825" w:rsidRPr="001045B7" w:rsidRDefault="00001825" w:rsidP="00001825">
      <w:pPr>
        <w:pStyle w:val="Prrafodelista"/>
        <w:spacing w:line="276" w:lineRule="auto"/>
        <w:ind w:left="0"/>
        <w:jc w:val="both"/>
        <w:rPr>
          <w:rFonts w:asciiTheme="minorHAnsi" w:hAnsiTheme="minorHAnsi" w:cstheme="minorHAnsi"/>
          <w:sz w:val="17"/>
          <w:szCs w:val="17"/>
        </w:rPr>
      </w:pPr>
    </w:p>
    <w:p w14:paraId="546F1336" w14:textId="77777777" w:rsidR="00AF32DC" w:rsidRPr="001045B7" w:rsidRDefault="00AF32DC" w:rsidP="00001825">
      <w:pPr>
        <w:pStyle w:val="Prrafodelista"/>
        <w:spacing w:line="276" w:lineRule="auto"/>
        <w:ind w:left="0"/>
        <w:jc w:val="both"/>
        <w:rPr>
          <w:rFonts w:asciiTheme="minorHAnsi" w:hAnsiTheme="minorHAnsi" w:cstheme="minorHAnsi"/>
          <w:sz w:val="17"/>
          <w:szCs w:val="17"/>
        </w:rPr>
      </w:pPr>
    </w:p>
    <w:p w14:paraId="5A252F05" w14:textId="77777777" w:rsidR="00E54B87" w:rsidRPr="001045B7" w:rsidRDefault="00E54B87" w:rsidP="00E54B8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El decremento en la cuenta de terrenos corresponde principalmente la reclasificación de bienes inmuebles a las cuentas de edificios.</w:t>
      </w:r>
    </w:p>
    <w:p w14:paraId="5F89BF29" w14:textId="77777777" w:rsidR="00E54B87" w:rsidRPr="001045B7" w:rsidRDefault="00E54B87" w:rsidP="00E54B87">
      <w:pPr>
        <w:pStyle w:val="Prrafodelista"/>
        <w:spacing w:line="276" w:lineRule="auto"/>
        <w:jc w:val="both"/>
        <w:rPr>
          <w:rFonts w:asciiTheme="minorHAnsi" w:hAnsiTheme="minorHAnsi" w:cstheme="minorHAnsi"/>
          <w:sz w:val="17"/>
          <w:szCs w:val="17"/>
        </w:rPr>
      </w:pPr>
    </w:p>
    <w:p w14:paraId="42777AC3" w14:textId="56505ADD" w:rsidR="00E54B87" w:rsidRPr="001045B7" w:rsidRDefault="00E54B87" w:rsidP="00E54B8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incremento en la cuenta de viviendas corresponde a la reclasificación de 9 bienes inmuebles de la cuenta de terrenos por un importe de 13,730,359</w:t>
      </w:r>
      <w:r w:rsidR="0089784F" w:rsidRPr="001045B7">
        <w:rPr>
          <w:rFonts w:asciiTheme="minorHAnsi" w:hAnsiTheme="minorHAnsi" w:cstheme="minorHAnsi"/>
          <w:sz w:val="17"/>
          <w:szCs w:val="17"/>
        </w:rPr>
        <w:t xml:space="preserve"> (trece millones setecientos treinta mil trescientos cincuenta y nueve)</w:t>
      </w:r>
      <w:r w:rsidRPr="001045B7">
        <w:rPr>
          <w:rFonts w:asciiTheme="minorHAnsi" w:hAnsiTheme="minorHAnsi" w:cstheme="minorHAnsi"/>
          <w:sz w:val="17"/>
          <w:szCs w:val="17"/>
        </w:rPr>
        <w:t>.</w:t>
      </w:r>
    </w:p>
    <w:p w14:paraId="5D62F6E0" w14:textId="77777777" w:rsidR="00E54B87" w:rsidRPr="001045B7" w:rsidRDefault="00E54B87" w:rsidP="00E54B87">
      <w:pPr>
        <w:spacing w:line="276" w:lineRule="auto"/>
        <w:jc w:val="both"/>
        <w:rPr>
          <w:rFonts w:asciiTheme="minorHAnsi" w:hAnsiTheme="minorHAnsi" w:cstheme="minorHAnsi"/>
          <w:sz w:val="17"/>
          <w:szCs w:val="17"/>
        </w:rPr>
      </w:pPr>
    </w:p>
    <w:p w14:paraId="7CAD4FC5" w14:textId="200D487C" w:rsidR="00E54B87" w:rsidRPr="001045B7" w:rsidRDefault="00E54B87" w:rsidP="00E54B87">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incremento en la cuenta de Edificios no Habitacionales, obedece a la actualización de valor de los inmuebles por un importe de 966,814,082</w:t>
      </w:r>
      <w:r w:rsidR="0089784F" w:rsidRPr="001045B7">
        <w:rPr>
          <w:rFonts w:asciiTheme="minorHAnsi" w:hAnsiTheme="minorHAnsi" w:cstheme="minorHAnsi"/>
          <w:sz w:val="17"/>
          <w:szCs w:val="17"/>
        </w:rPr>
        <w:t xml:space="preserve"> (novecientos sesenta y seis millones ochocientos catorce mil ochenta y dos)</w:t>
      </w:r>
      <w:r w:rsidRPr="001045B7">
        <w:rPr>
          <w:rFonts w:asciiTheme="minorHAnsi" w:hAnsiTheme="minorHAnsi" w:cstheme="minorHAnsi"/>
          <w:sz w:val="17"/>
          <w:szCs w:val="17"/>
        </w:rPr>
        <w:t>.</w:t>
      </w:r>
    </w:p>
    <w:p w14:paraId="4D80B97E" w14:textId="77777777" w:rsidR="00E54B87" w:rsidRPr="001045B7" w:rsidRDefault="00E54B87" w:rsidP="00E54B87">
      <w:pPr>
        <w:pStyle w:val="Prrafodelista"/>
        <w:spacing w:line="276" w:lineRule="auto"/>
        <w:ind w:left="0"/>
        <w:jc w:val="both"/>
        <w:rPr>
          <w:rFonts w:asciiTheme="minorHAnsi" w:hAnsiTheme="minorHAnsi" w:cstheme="minorHAnsi"/>
          <w:sz w:val="17"/>
          <w:szCs w:val="17"/>
        </w:rPr>
      </w:pPr>
    </w:p>
    <w:p w14:paraId="55F34156" w14:textId="6D66F940" w:rsidR="00F82EBB" w:rsidRPr="001045B7" w:rsidRDefault="00E54B87" w:rsidP="00E54B87">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El incremento en la cuenta de Infraestructura, se debe a la actualización de inmuebles por un importe de 225,007,711</w:t>
      </w:r>
      <w:r w:rsidR="009733E7" w:rsidRPr="001045B7">
        <w:rPr>
          <w:rFonts w:asciiTheme="minorHAnsi" w:hAnsiTheme="minorHAnsi" w:cstheme="minorHAnsi"/>
          <w:sz w:val="17"/>
          <w:szCs w:val="17"/>
        </w:rPr>
        <w:t xml:space="preserve"> (doscientos veinticinco millones siete mil setecientos once)</w:t>
      </w:r>
      <w:r w:rsidRPr="001045B7">
        <w:rPr>
          <w:rFonts w:asciiTheme="minorHAnsi" w:hAnsiTheme="minorHAnsi" w:cstheme="minorHAnsi"/>
          <w:sz w:val="17"/>
          <w:szCs w:val="17"/>
        </w:rPr>
        <w:t>.</w:t>
      </w:r>
    </w:p>
    <w:p w14:paraId="02F01F01" w14:textId="70E6D355" w:rsidR="00DD0434"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por rubro de bienes inmuebles,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de la depreciación del ejercicio y la acumulada, el método de depreciación, tasas aplicadas y los criterios de aplicación de los mismos. Asimismo, se informa de las características significativas del estado en que se encuentran los activos:</w:t>
      </w:r>
    </w:p>
    <w:p w14:paraId="62465D30" w14:textId="77777777" w:rsidR="009A4ED2" w:rsidRPr="001045B7" w:rsidRDefault="009A4ED2" w:rsidP="00001825">
      <w:pPr>
        <w:pStyle w:val="Prrafodelista"/>
        <w:spacing w:line="276" w:lineRule="auto"/>
        <w:ind w:left="0"/>
        <w:jc w:val="both"/>
        <w:rPr>
          <w:rFonts w:asciiTheme="minorHAnsi" w:hAnsiTheme="minorHAnsi" w:cstheme="minorHAnsi"/>
          <w:sz w:val="17"/>
          <w:szCs w:val="17"/>
        </w:rPr>
      </w:pPr>
    </w:p>
    <w:p w14:paraId="17D80D8A" w14:textId="77777777" w:rsidR="00001825" w:rsidRPr="001045B7" w:rsidRDefault="00001825" w:rsidP="00001825">
      <w:pPr>
        <w:spacing w:line="259" w:lineRule="auto"/>
        <w:ind w:left="709"/>
        <w:jc w:val="center"/>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 xml:space="preserve">(Pesos)    </w:t>
      </w:r>
    </w:p>
    <w:tbl>
      <w:tblPr>
        <w:tblpPr w:leftFromText="141" w:rightFromText="141" w:vertAnchor="text" w:horzAnchor="margin" w:tblpY="21"/>
        <w:tblW w:w="5228" w:type="pct"/>
        <w:tblCellMar>
          <w:left w:w="70" w:type="dxa"/>
          <w:right w:w="70" w:type="dxa"/>
        </w:tblCellMar>
        <w:tblLook w:val="04A0" w:firstRow="1" w:lastRow="0" w:firstColumn="1" w:lastColumn="0" w:noHBand="0" w:noVBand="1"/>
      </w:tblPr>
      <w:tblGrid>
        <w:gridCol w:w="2392"/>
        <w:gridCol w:w="2205"/>
        <w:gridCol w:w="1480"/>
        <w:gridCol w:w="1479"/>
        <w:gridCol w:w="1165"/>
        <w:gridCol w:w="2061"/>
        <w:gridCol w:w="1499"/>
        <w:gridCol w:w="1493"/>
      </w:tblGrid>
      <w:tr w:rsidR="00001825" w:rsidRPr="001045B7" w14:paraId="4947A18F" w14:textId="77777777" w:rsidTr="00001825">
        <w:trPr>
          <w:trHeight w:val="274"/>
        </w:trPr>
        <w:tc>
          <w:tcPr>
            <w:tcW w:w="868"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8C27A5" w14:textId="77777777" w:rsidR="00001825" w:rsidRPr="001045B7" w:rsidRDefault="00001825" w:rsidP="00001825">
            <w:pPr>
              <w:ind w:left="492" w:hanging="492"/>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xml:space="preserve">Cuenta de bienes </w:t>
            </w:r>
          </w:p>
          <w:p w14:paraId="59D9CDD7" w14:textId="2199A641" w:rsidR="00001825" w:rsidRPr="001045B7" w:rsidRDefault="0010670B" w:rsidP="00001825">
            <w:pPr>
              <w:ind w:left="492" w:hanging="492"/>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I</w:t>
            </w:r>
            <w:r w:rsidR="00001825" w:rsidRPr="001045B7">
              <w:rPr>
                <w:rFonts w:asciiTheme="minorHAnsi" w:hAnsiTheme="minorHAnsi" w:cstheme="minorHAnsi"/>
                <w:b/>
                <w:bCs/>
                <w:color w:val="000000"/>
                <w:sz w:val="17"/>
                <w:szCs w:val="17"/>
              </w:rPr>
              <w:t>nmuebles</w:t>
            </w:r>
          </w:p>
        </w:tc>
        <w:tc>
          <w:tcPr>
            <w:tcW w:w="800" w:type="pct"/>
            <w:vMerge w:val="restart"/>
            <w:tcBorders>
              <w:top w:val="single" w:sz="4" w:space="0" w:color="auto"/>
              <w:left w:val="nil"/>
              <w:right w:val="single" w:sz="4" w:space="0" w:color="auto"/>
            </w:tcBorders>
            <w:shd w:val="clear" w:color="auto" w:fill="BFBFBF" w:themeFill="background1" w:themeFillShade="BF"/>
            <w:vAlign w:val="center"/>
            <w:hideMark/>
          </w:tcPr>
          <w:p w14:paraId="13BA9656"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de depreciación del ejercicio</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782623ED"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de depreciación acumulada</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6A3D2E43"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Método de depreciación</w:t>
            </w:r>
          </w:p>
        </w:tc>
        <w:tc>
          <w:tcPr>
            <w:tcW w:w="423" w:type="pct"/>
            <w:vMerge w:val="restart"/>
            <w:tcBorders>
              <w:top w:val="single" w:sz="4" w:space="0" w:color="auto"/>
              <w:left w:val="nil"/>
              <w:right w:val="single" w:sz="4" w:space="0" w:color="auto"/>
            </w:tcBorders>
            <w:shd w:val="clear" w:color="auto" w:fill="BFBFBF" w:themeFill="background1" w:themeFillShade="BF"/>
            <w:vAlign w:val="center"/>
            <w:hideMark/>
          </w:tcPr>
          <w:p w14:paraId="4824A139"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Tasa aplicada</w:t>
            </w:r>
          </w:p>
        </w:tc>
        <w:tc>
          <w:tcPr>
            <w:tcW w:w="748" w:type="pct"/>
            <w:vMerge w:val="restart"/>
            <w:tcBorders>
              <w:top w:val="single" w:sz="4" w:space="0" w:color="auto"/>
              <w:left w:val="nil"/>
              <w:right w:val="single" w:sz="4" w:space="0" w:color="auto"/>
            </w:tcBorders>
            <w:shd w:val="clear" w:color="auto" w:fill="BFBFBF" w:themeFill="background1" w:themeFillShade="BF"/>
            <w:vAlign w:val="center"/>
            <w:hideMark/>
          </w:tcPr>
          <w:p w14:paraId="4049DC3A"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Criterio de aplicación</w:t>
            </w:r>
          </w:p>
        </w:tc>
        <w:tc>
          <w:tcPr>
            <w:tcW w:w="1086"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6C9272B6"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Características significativas del estado en que encuentren</w:t>
            </w:r>
          </w:p>
        </w:tc>
      </w:tr>
      <w:tr w:rsidR="00001825" w:rsidRPr="001045B7" w14:paraId="326B8EA8" w14:textId="77777777" w:rsidTr="00001825">
        <w:trPr>
          <w:trHeight w:val="274"/>
        </w:trPr>
        <w:tc>
          <w:tcPr>
            <w:tcW w:w="868" w:type="pct"/>
            <w:vMerge/>
            <w:tcBorders>
              <w:left w:val="single" w:sz="4" w:space="0" w:color="auto"/>
              <w:bottom w:val="single" w:sz="4" w:space="0" w:color="auto"/>
              <w:right w:val="single" w:sz="4" w:space="0" w:color="auto"/>
            </w:tcBorders>
            <w:shd w:val="clear" w:color="000000" w:fill="F2F2F2"/>
            <w:vAlign w:val="center"/>
          </w:tcPr>
          <w:p w14:paraId="5C0DC516" w14:textId="77777777" w:rsidR="00001825" w:rsidRPr="001045B7" w:rsidRDefault="00001825" w:rsidP="00001825">
            <w:pPr>
              <w:jc w:val="center"/>
              <w:rPr>
                <w:rFonts w:asciiTheme="minorHAnsi" w:hAnsiTheme="minorHAnsi" w:cstheme="minorHAnsi"/>
                <w:b/>
                <w:bCs/>
                <w:color w:val="000000"/>
                <w:sz w:val="17"/>
                <w:szCs w:val="17"/>
              </w:rPr>
            </w:pPr>
          </w:p>
        </w:tc>
        <w:tc>
          <w:tcPr>
            <w:tcW w:w="800" w:type="pct"/>
            <w:vMerge/>
            <w:tcBorders>
              <w:left w:val="nil"/>
              <w:bottom w:val="single" w:sz="4" w:space="0" w:color="auto"/>
              <w:right w:val="single" w:sz="4" w:space="0" w:color="auto"/>
            </w:tcBorders>
            <w:shd w:val="clear" w:color="000000" w:fill="F2F2F2"/>
            <w:vAlign w:val="center"/>
          </w:tcPr>
          <w:p w14:paraId="174ECA8A" w14:textId="77777777" w:rsidR="00001825" w:rsidRPr="001045B7" w:rsidRDefault="00001825" w:rsidP="00001825">
            <w:pPr>
              <w:jc w:val="center"/>
              <w:rPr>
                <w:rFonts w:asciiTheme="minorHAnsi" w:hAnsiTheme="minorHAnsi" w:cstheme="minorHAnsi"/>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44BCD90A" w14:textId="77777777" w:rsidR="00001825" w:rsidRPr="001045B7" w:rsidRDefault="00001825" w:rsidP="00001825">
            <w:pPr>
              <w:jc w:val="center"/>
              <w:rPr>
                <w:rFonts w:asciiTheme="minorHAnsi" w:hAnsiTheme="minorHAnsi" w:cstheme="minorHAnsi"/>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1BDF245C" w14:textId="77777777" w:rsidR="00001825" w:rsidRPr="001045B7" w:rsidRDefault="00001825" w:rsidP="00001825">
            <w:pPr>
              <w:jc w:val="center"/>
              <w:rPr>
                <w:rFonts w:asciiTheme="minorHAnsi" w:hAnsiTheme="minorHAnsi" w:cstheme="minorHAnsi"/>
                <w:b/>
                <w:bCs/>
                <w:color w:val="000000"/>
                <w:sz w:val="17"/>
                <w:szCs w:val="17"/>
              </w:rPr>
            </w:pPr>
          </w:p>
        </w:tc>
        <w:tc>
          <w:tcPr>
            <w:tcW w:w="423" w:type="pct"/>
            <w:vMerge/>
            <w:tcBorders>
              <w:left w:val="nil"/>
              <w:bottom w:val="single" w:sz="4" w:space="0" w:color="auto"/>
              <w:right w:val="single" w:sz="4" w:space="0" w:color="auto"/>
            </w:tcBorders>
            <w:shd w:val="clear" w:color="000000" w:fill="F2F2F2"/>
            <w:vAlign w:val="center"/>
          </w:tcPr>
          <w:p w14:paraId="5A829B16" w14:textId="77777777" w:rsidR="00001825" w:rsidRPr="001045B7" w:rsidRDefault="00001825" w:rsidP="00001825">
            <w:pPr>
              <w:jc w:val="center"/>
              <w:rPr>
                <w:rFonts w:asciiTheme="minorHAnsi" w:hAnsiTheme="minorHAnsi" w:cstheme="minorHAnsi"/>
                <w:b/>
                <w:bCs/>
                <w:color w:val="000000"/>
                <w:sz w:val="17"/>
                <w:szCs w:val="17"/>
              </w:rPr>
            </w:pPr>
          </w:p>
        </w:tc>
        <w:tc>
          <w:tcPr>
            <w:tcW w:w="748" w:type="pct"/>
            <w:vMerge/>
            <w:tcBorders>
              <w:left w:val="nil"/>
              <w:bottom w:val="single" w:sz="4" w:space="0" w:color="auto"/>
              <w:right w:val="single" w:sz="4" w:space="0" w:color="auto"/>
            </w:tcBorders>
            <w:shd w:val="clear" w:color="000000" w:fill="F2F2F2"/>
            <w:vAlign w:val="center"/>
          </w:tcPr>
          <w:p w14:paraId="5F8487A3" w14:textId="77777777" w:rsidR="00001825" w:rsidRPr="001045B7" w:rsidRDefault="00001825" w:rsidP="00001825">
            <w:pPr>
              <w:jc w:val="center"/>
              <w:rPr>
                <w:rFonts w:asciiTheme="minorHAnsi" w:hAnsiTheme="minorHAnsi" w:cstheme="minorHAnsi"/>
                <w:b/>
                <w:bCs/>
                <w:color w:val="000000"/>
                <w:sz w:val="17"/>
                <w:szCs w:val="17"/>
              </w:rPr>
            </w:pPr>
          </w:p>
        </w:tc>
        <w:tc>
          <w:tcPr>
            <w:tcW w:w="544" w:type="pct"/>
            <w:tcBorders>
              <w:top w:val="single" w:sz="4" w:space="0" w:color="auto"/>
              <w:left w:val="nil"/>
              <w:bottom w:val="single" w:sz="4" w:space="0" w:color="auto"/>
              <w:right w:val="single" w:sz="4" w:space="0" w:color="auto"/>
            </w:tcBorders>
            <w:shd w:val="clear" w:color="auto" w:fill="BFBFBF" w:themeFill="background1" w:themeFillShade="BF"/>
          </w:tcPr>
          <w:p w14:paraId="7A546096"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Aptos para su uso</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tcPr>
          <w:p w14:paraId="120A5BAC"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No Aptos o Inservibles</w:t>
            </w:r>
          </w:p>
        </w:tc>
      </w:tr>
      <w:tr w:rsidR="00D34B59" w:rsidRPr="001045B7" w14:paraId="2C44F8ED" w14:textId="77777777" w:rsidTr="00001825">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634C8D35" w14:textId="77777777" w:rsidR="00D34B59" w:rsidRPr="001045B7" w:rsidRDefault="00D34B59" w:rsidP="00D34B59">
            <w:pPr>
              <w:rPr>
                <w:rFonts w:asciiTheme="minorHAnsi" w:hAnsiTheme="minorHAnsi" w:cstheme="minorHAnsi"/>
                <w:color w:val="000000"/>
                <w:sz w:val="17"/>
                <w:szCs w:val="17"/>
              </w:rPr>
            </w:pPr>
            <w:r w:rsidRPr="001045B7">
              <w:rPr>
                <w:rFonts w:asciiTheme="minorHAnsi" w:hAnsiTheme="minorHAnsi" w:cstheme="minorHAnsi"/>
                <w:color w:val="000000"/>
                <w:sz w:val="17"/>
                <w:szCs w:val="17"/>
              </w:rPr>
              <w:t>Viviendas</w:t>
            </w:r>
          </w:p>
        </w:tc>
        <w:tc>
          <w:tcPr>
            <w:tcW w:w="800" w:type="pct"/>
            <w:tcBorders>
              <w:top w:val="nil"/>
              <w:left w:val="nil"/>
              <w:bottom w:val="single" w:sz="4" w:space="0" w:color="auto"/>
              <w:right w:val="single" w:sz="4" w:space="0" w:color="auto"/>
            </w:tcBorders>
            <w:shd w:val="clear" w:color="auto" w:fill="auto"/>
          </w:tcPr>
          <w:p w14:paraId="0AD223B7" w14:textId="5B953972"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191,345 </w:t>
            </w:r>
          </w:p>
        </w:tc>
        <w:tc>
          <w:tcPr>
            <w:tcW w:w="537" w:type="pct"/>
            <w:tcBorders>
              <w:top w:val="nil"/>
              <w:left w:val="nil"/>
              <w:bottom w:val="single" w:sz="4" w:space="0" w:color="auto"/>
              <w:right w:val="single" w:sz="4" w:space="0" w:color="auto"/>
            </w:tcBorders>
            <w:shd w:val="clear" w:color="auto" w:fill="auto"/>
          </w:tcPr>
          <w:p w14:paraId="3AB0E7D1" w14:textId="031C075B"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888,100 </w:t>
            </w:r>
          </w:p>
        </w:tc>
        <w:tc>
          <w:tcPr>
            <w:tcW w:w="537" w:type="pct"/>
            <w:tcBorders>
              <w:top w:val="nil"/>
              <w:left w:val="nil"/>
              <w:bottom w:val="single" w:sz="4" w:space="0" w:color="auto"/>
              <w:right w:val="single" w:sz="4" w:space="0" w:color="auto"/>
            </w:tcBorders>
            <w:shd w:val="clear" w:color="auto" w:fill="auto"/>
            <w:hideMark/>
          </w:tcPr>
          <w:p w14:paraId="2FBA0994" w14:textId="77777777" w:rsidR="00D34B59" w:rsidRPr="001045B7" w:rsidRDefault="00D34B59" w:rsidP="00D34B59">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0F0E45A4"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2% anual</w:t>
            </w:r>
          </w:p>
        </w:tc>
        <w:tc>
          <w:tcPr>
            <w:tcW w:w="748" w:type="pct"/>
            <w:tcBorders>
              <w:top w:val="nil"/>
              <w:left w:val="nil"/>
              <w:bottom w:val="single" w:sz="4" w:space="0" w:color="auto"/>
              <w:right w:val="single" w:sz="4" w:space="0" w:color="auto"/>
            </w:tcBorders>
            <w:shd w:val="clear" w:color="auto" w:fill="auto"/>
            <w:vAlign w:val="center"/>
            <w:hideMark/>
          </w:tcPr>
          <w:p w14:paraId="31925402" w14:textId="77777777" w:rsidR="00D34B59" w:rsidRPr="001045B7" w:rsidRDefault="00D34B59" w:rsidP="00D34B59">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55ADA9BE" w14:textId="0A904DF9" w:rsidR="00D34B59" w:rsidRPr="001045B7" w:rsidRDefault="00654D85" w:rsidP="00D34B59">
            <w:pPr>
              <w:jc w:val="center"/>
              <w:rPr>
                <w:rFonts w:asciiTheme="minorHAnsi" w:hAnsiTheme="minorHAnsi" w:cstheme="minorHAnsi"/>
                <w:sz w:val="17"/>
                <w:szCs w:val="17"/>
              </w:rPr>
            </w:pPr>
            <w:r w:rsidRPr="001045B7">
              <w:rPr>
                <w:rFonts w:asciiTheme="minorHAnsi" w:hAnsiTheme="minorHAnsi" w:cstheme="minorHAnsi"/>
                <w:sz w:val="17"/>
                <w:szCs w:val="17"/>
              </w:rPr>
              <w:t>14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255AFC6" w14:textId="77777777" w:rsidR="00D34B59" w:rsidRPr="001045B7" w:rsidRDefault="00D34B59" w:rsidP="00D34B59">
            <w:pPr>
              <w:jc w:val="center"/>
              <w:rPr>
                <w:rFonts w:asciiTheme="minorHAnsi" w:hAnsiTheme="minorHAnsi" w:cstheme="minorHAnsi"/>
                <w:sz w:val="17"/>
                <w:szCs w:val="17"/>
              </w:rPr>
            </w:pPr>
          </w:p>
        </w:tc>
      </w:tr>
      <w:tr w:rsidR="00D34B59" w:rsidRPr="001045B7" w14:paraId="4AC20E84" w14:textId="77777777" w:rsidTr="00001825">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6D0E6634" w14:textId="77777777" w:rsidR="00D34B59" w:rsidRPr="001045B7" w:rsidRDefault="00D34B59" w:rsidP="00D34B59">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Edificios no habitacionales</w:t>
            </w:r>
          </w:p>
        </w:tc>
        <w:tc>
          <w:tcPr>
            <w:tcW w:w="800" w:type="pct"/>
            <w:tcBorders>
              <w:top w:val="nil"/>
              <w:left w:val="nil"/>
              <w:bottom w:val="single" w:sz="4" w:space="0" w:color="auto"/>
              <w:right w:val="single" w:sz="4" w:space="0" w:color="auto"/>
            </w:tcBorders>
            <w:shd w:val="clear" w:color="auto" w:fill="auto"/>
          </w:tcPr>
          <w:p w14:paraId="5C73BC05" w14:textId="3666E4AC"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168,673,256 </w:t>
            </w:r>
          </w:p>
        </w:tc>
        <w:tc>
          <w:tcPr>
            <w:tcW w:w="537" w:type="pct"/>
            <w:tcBorders>
              <w:top w:val="nil"/>
              <w:left w:val="nil"/>
              <w:bottom w:val="single" w:sz="4" w:space="0" w:color="auto"/>
              <w:right w:val="single" w:sz="4" w:space="0" w:color="auto"/>
            </w:tcBorders>
            <w:shd w:val="clear" w:color="auto" w:fill="auto"/>
          </w:tcPr>
          <w:p w14:paraId="5F00F1A4" w14:textId="7991AD44"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3,214,669,571 </w:t>
            </w:r>
          </w:p>
        </w:tc>
        <w:tc>
          <w:tcPr>
            <w:tcW w:w="537" w:type="pct"/>
            <w:tcBorders>
              <w:top w:val="nil"/>
              <w:left w:val="nil"/>
              <w:bottom w:val="single" w:sz="4" w:space="0" w:color="auto"/>
              <w:right w:val="single" w:sz="4" w:space="0" w:color="auto"/>
            </w:tcBorders>
            <w:shd w:val="clear" w:color="auto" w:fill="auto"/>
            <w:hideMark/>
          </w:tcPr>
          <w:p w14:paraId="42431B03" w14:textId="77777777" w:rsidR="00D34B59" w:rsidRPr="001045B7" w:rsidRDefault="00D34B59" w:rsidP="00D34B59">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2370144A"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3.3% anual</w:t>
            </w:r>
          </w:p>
        </w:tc>
        <w:tc>
          <w:tcPr>
            <w:tcW w:w="748" w:type="pct"/>
            <w:tcBorders>
              <w:top w:val="nil"/>
              <w:left w:val="nil"/>
              <w:bottom w:val="single" w:sz="4" w:space="0" w:color="auto"/>
              <w:right w:val="single" w:sz="4" w:space="0" w:color="auto"/>
            </w:tcBorders>
            <w:shd w:val="clear" w:color="auto" w:fill="auto"/>
            <w:vAlign w:val="center"/>
            <w:hideMark/>
          </w:tcPr>
          <w:p w14:paraId="1DC71854" w14:textId="77777777" w:rsidR="00D34B59" w:rsidRPr="001045B7" w:rsidRDefault="00D34B59" w:rsidP="00D34B59">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79FCFFE4" w14:textId="42F37487" w:rsidR="00D34B59" w:rsidRPr="001045B7" w:rsidRDefault="00D34B59" w:rsidP="00D34B59">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1,2</w:t>
            </w:r>
            <w:r w:rsidR="00654D85" w:rsidRPr="001045B7">
              <w:rPr>
                <w:rFonts w:asciiTheme="minorHAnsi" w:hAnsiTheme="minorHAnsi" w:cstheme="minorHAnsi"/>
                <w:color w:val="000000"/>
                <w:sz w:val="17"/>
                <w:szCs w:val="17"/>
              </w:rPr>
              <w:t>80</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9F1C290" w14:textId="77777777" w:rsidR="00D34B59" w:rsidRPr="001045B7" w:rsidRDefault="00D34B59" w:rsidP="00D34B59">
            <w:pPr>
              <w:jc w:val="center"/>
              <w:rPr>
                <w:rFonts w:asciiTheme="minorHAnsi" w:hAnsiTheme="minorHAnsi" w:cstheme="minorHAnsi"/>
                <w:color w:val="000000"/>
                <w:sz w:val="17"/>
                <w:szCs w:val="17"/>
              </w:rPr>
            </w:pPr>
          </w:p>
        </w:tc>
      </w:tr>
      <w:tr w:rsidR="00D34B59" w:rsidRPr="001045B7" w14:paraId="431384B5" w14:textId="77777777" w:rsidTr="00001825">
        <w:trPr>
          <w:trHeight w:val="221"/>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B3AFB4" w14:textId="77777777" w:rsidR="00D34B59" w:rsidRPr="001045B7" w:rsidRDefault="00D34B59" w:rsidP="00D34B59">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684663" w14:textId="7568CB60"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168,864,601 </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10E11" w14:textId="04BBE389"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3,215,557,671 </w:t>
            </w:r>
          </w:p>
        </w:tc>
        <w:tc>
          <w:tcPr>
            <w:tcW w:w="537"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326594AB" w14:textId="77777777" w:rsidR="00D34B59" w:rsidRPr="001045B7" w:rsidRDefault="00D34B59" w:rsidP="00D34B59">
            <w:pP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 </w:t>
            </w:r>
          </w:p>
        </w:tc>
        <w:tc>
          <w:tcPr>
            <w:tcW w:w="423" w:type="pct"/>
            <w:tcBorders>
              <w:top w:val="single" w:sz="4" w:space="0" w:color="auto"/>
              <w:bottom w:val="single" w:sz="4" w:space="0" w:color="auto"/>
            </w:tcBorders>
            <w:shd w:val="clear" w:color="auto" w:fill="BFBFBF" w:themeFill="background1" w:themeFillShade="BF"/>
            <w:noWrap/>
            <w:vAlign w:val="bottom"/>
            <w:hideMark/>
          </w:tcPr>
          <w:p w14:paraId="7E052C93" w14:textId="77777777" w:rsidR="00D34B59" w:rsidRPr="001045B7" w:rsidRDefault="00D34B59" w:rsidP="00D34B59">
            <w:pPr>
              <w:rPr>
                <w:rFonts w:asciiTheme="minorHAnsi" w:hAnsiTheme="minorHAnsi" w:cstheme="minorHAnsi"/>
                <w:b/>
                <w:bCs/>
                <w:color w:val="FF0000"/>
                <w:sz w:val="17"/>
                <w:szCs w:val="17"/>
              </w:rPr>
            </w:pPr>
            <w:r w:rsidRPr="001045B7">
              <w:rPr>
                <w:rFonts w:asciiTheme="minorHAnsi" w:hAnsiTheme="minorHAnsi" w:cstheme="minorHAnsi"/>
                <w:b/>
                <w:bCs/>
                <w:color w:val="FF0000"/>
                <w:sz w:val="17"/>
                <w:szCs w:val="17"/>
              </w:rPr>
              <w:t> </w:t>
            </w:r>
          </w:p>
        </w:tc>
        <w:tc>
          <w:tcPr>
            <w:tcW w:w="748" w:type="pct"/>
            <w:tcBorders>
              <w:top w:val="single" w:sz="4" w:space="0" w:color="auto"/>
              <w:bottom w:val="single" w:sz="4" w:space="0" w:color="auto"/>
            </w:tcBorders>
            <w:shd w:val="clear" w:color="auto" w:fill="BFBFBF" w:themeFill="background1" w:themeFillShade="BF"/>
            <w:noWrap/>
            <w:vAlign w:val="bottom"/>
            <w:hideMark/>
          </w:tcPr>
          <w:p w14:paraId="278BF60B" w14:textId="77777777" w:rsidR="00D34B59" w:rsidRPr="001045B7" w:rsidRDefault="00D34B59" w:rsidP="00D34B59">
            <w:pPr>
              <w:rPr>
                <w:rFonts w:asciiTheme="minorHAnsi" w:hAnsiTheme="minorHAnsi" w:cstheme="minorHAnsi"/>
                <w:b/>
                <w:bCs/>
                <w:color w:val="FF0000"/>
                <w:sz w:val="17"/>
                <w:szCs w:val="17"/>
              </w:rPr>
            </w:pPr>
            <w:r w:rsidRPr="001045B7">
              <w:rPr>
                <w:rFonts w:asciiTheme="minorHAnsi" w:hAnsiTheme="minorHAnsi" w:cstheme="minorHAnsi"/>
                <w:b/>
                <w:bCs/>
                <w:color w:val="FF0000"/>
                <w:sz w:val="17"/>
                <w:szCs w:val="17"/>
              </w:rPr>
              <w:t> </w:t>
            </w:r>
          </w:p>
        </w:tc>
        <w:tc>
          <w:tcPr>
            <w:tcW w:w="544" w:type="pct"/>
            <w:tcBorders>
              <w:top w:val="single" w:sz="4" w:space="0" w:color="auto"/>
              <w:bottom w:val="single" w:sz="4" w:space="0" w:color="auto"/>
            </w:tcBorders>
            <w:shd w:val="clear" w:color="auto" w:fill="BFBFBF" w:themeFill="background1" w:themeFillShade="BF"/>
          </w:tcPr>
          <w:p w14:paraId="3F6ADA8A" w14:textId="77777777" w:rsidR="00D34B59" w:rsidRPr="001045B7" w:rsidRDefault="00D34B59" w:rsidP="00D34B59">
            <w:pPr>
              <w:rPr>
                <w:rFonts w:asciiTheme="minorHAnsi" w:hAnsiTheme="minorHAnsi" w:cstheme="minorHAnsi"/>
                <w:b/>
                <w:bCs/>
                <w:color w:val="FF0000"/>
                <w:sz w:val="17"/>
                <w:szCs w:val="17"/>
              </w:rPr>
            </w:pPr>
          </w:p>
        </w:tc>
        <w:tc>
          <w:tcPr>
            <w:tcW w:w="542"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014EB21C" w14:textId="77777777" w:rsidR="00D34B59" w:rsidRPr="001045B7" w:rsidRDefault="00D34B59" w:rsidP="00D34B59">
            <w:pPr>
              <w:rPr>
                <w:rFonts w:asciiTheme="minorHAnsi" w:hAnsiTheme="minorHAnsi" w:cstheme="minorHAnsi"/>
                <w:b/>
                <w:bCs/>
                <w:color w:val="FF0000"/>
                <w:sz w:val="17"/>
                <w:szCs w:val="17"/>
              </w:rPr>
            </w:pPr>
            <w:r w:rsidRPr="001045B7">
              <w:rPr>
                <w:rFonts w:asciiTheme="minorHAnsi" w:hAnsiTheme="minorHAnsi" w:cstheme="minorHAnsi"/>
                <w:b/>
                <w:bCs/>
                <w:color w:val="FF0000"/>
                <w:sz w:val="17"/>
                <w:szCs w:val="17"/>
              </w:rPr>
              <w:t> </w:t>
            </w:r>
          </w:p>
        </w:tc>
      </w:tr>
    </w:tbl>
    <w:p w14:paraId="04D475ED" w14:textId="77777777" w:rsidR="00565033" w:rsidRPr="001045B7" w:rsidRDefault="00565033" w:rsidP="00001825">
      <w:pPr>
        <w:pStyle w:val="Prrafodelista"/>
        <w:spacing w:line="276" w:lineRule="auto"/>
        <w:ind w:left="0"/>
        <w:jc w:val="both"/>
        <w:rPr>
          <w:rFonts w:asciiTheme="minorHAnsi" w:hAnsiTheme="minorHAnsi" w:cstheme="minorHAnsi"/>
          <w:sz w:val="17"/>
          <w:szCs w:val="17"/>
        </w:rPr>
      </w:pPr>
    </w:p>
    <w:p w14:paraId="21F680A8" w14:textId="77777777" w:rsidR="00565033" w:rsidRPr="001045B7" w:rsidRDefault="00565033" w:rsidP="00001825">
      <w:pPr>
        <w:pStyle w:val="Prrafodelista"/>
        <w:spacing w:line="276" w:lineRule="auto"/>
        <w:ind w:left="0"/>
        <w:jc w:val="both"/>
        <w:rPr>
          <w:rFonts w:asciiTheme="minorHAnsi" w:hAnsiTheme="minorHAnsi" w:cstheme="minorHAnsi"/>
          <w:sz w:val="17"/>
          <w:szCs w:val="17"/>
        </w:rPr>
      </w:pPr>
    </w:p>
    <w:p w14:paraId="78F37EB2" w14:textId="57BAD40C" w:rsidR="007F3F11"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por cuenta, el rubro de Bienes Muebles,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25EF6371" w14:textId="77777777" w:rsidR="00001825" w:rsidRPr="001045B7" w:rsidRDefault="00001825" w:rsidP="00001825">
      <w:pPr>
        <w:autoSpaceDE w:val="0"/>
        <w:autoSpaceDN w:val="0"/>
        <w:adjustRightInd w:val="0"/>
        <w:spacing w:before="240"/>
        <w:ind w:left="36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458"/>
        <w:gridCol w:w="2301"/>
        <w:gridCol w:w="2223"/>
      </w:tblGrid>
      <w:tr w:rsidR="00001825" w:rsidRPr="001045B7" w14:paraId="10414C20" w14:textId="77777777" w:rsidTr="00AF6204">
        <w:trPr>
          <w:trHeight w:val="87"/>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C6A2D1"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23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6111AE" w14:textId="1D402418"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F00D77" w14:textId="59FC511D"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D34B59" w:rsidRPr="001045B7" w14:paraId="497FB6C2"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4121C73"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Mobiliario y Equipo de Administración</w:t>
            </w:r>
          </w:p>
        </w:tc>
        <w:tc>
          <w:tcPr>
            <w:tcW w:w="2301" w:type="dxa"/>
            <w:tcBorders>
              <w:top w:val="single" w:sz="4" w:space="0" w:color="auto"/>
              <w:left w:val="nil"/>
              <w:bottom w:val="single" w:sz="4" w:space="0" w:color="auto"/>
              <w:right w:val="single" w:sz="4" w:space="0" w:color="auto"/>
            </w:tcBorders>
            <w:shd w:val="clear" w:color="auto" w:fill="auto"/>
          </w:tcPr>
          <w:p w14:paraId="35DA43CA" w14:textId="50706C4B" w:rsidR="00D34B59" w:rsidRPr="001045B7" w:rsidRDefault="003B5A84" w:rsidP="00D34B59">
            <w:pPr>
              <w:jc w:val="right"/>
              <w:rPr>
                <w:rFonts w:asciiTheme="minorHAnsi" w:hAnsiTheme="minorHAnsi" w:cstheme="minorHAnsi"/>
                <w:sz w:val="17"/>
                <w:szCs w:val="17"/>
              </w:rPr>
            </w:pPr>
            <w:r w:rsidRPr="001045B7">
              <w:rPr>
                <w:rFonts w:asciiTheme="minorHAnsi" w:hAnsiTheme="minorHAnsi" w:cstheme="minorHAnsi"/>
                <w:sz w:val="17"/>
                <w:szCs w:val="17"/>
              </w:rPr>
              <w:t>820,097,460</w:t>
            </w:r>
            <w:r w:rsidR="00D34B59" w:rsidRPr="001045B7">
              <w:rPr>
                <w:rFonts w:asciiTheme="minorHAnsi" w:hAnsiTheme="minorHAnsi" w:cstheme="minorHAnsi"/>
                <w:sz w:val="17"/>
                <w:szCs w:val="17"/>
              </w:rPr>
              <w:t xml:space="preserve"> </w:t>
            </w:r>
          </w:p>
        </w:tc>
        <w:tc>
          <w:tcPr>
            <w:tcW w:w="2223" w:type="dxa"/>
            <w:tcBorders>
              <w:top w:val="nil"/>
              <w:left w:val="single" w:sz="4" w:space="0" w:color="auto"/>
              <w:bottom w:val="single" w:sz="4" w:space="0" w:color="auto"/>
              <w:right w:val="single" w:sz="4" w:space="0" w:color="auto"/>
            </w:tcBorders>
            <w:shd w:val="clear" w:color="auto" w:fill="auto"/>
          </w:tcPr>
          <w:p w14:paraId="11677853" w14:textId="37447C32" w:rsidR="00D34B59" w:rsidRPr="001045B7" w:rsidRDefault="003B5A84" w:rsidP="00D34B59">
            <w:pPr>
              <w:jc w:val="right"/>
              <w:rPr>
                <w:rFonts w:asciiTheme="minorHAnsi" w:hAnsiTheme="minorHAnsi" w:cstheme="minorHAnsi"/>
                <w:sz w:val="17"/>
                <w:szCs w:val="17"/>
              </w:rPr>
            </w:pPr>
            <w:r w:rsidRPr="001045B7">
              <w:rPr>
                <w:rFonts w:asciiTheme="minorHAnsi" w:hAnsiTheme="minorHAnsi" w:cstheme="minorHAnsi"/>
                <w:sz w:val="17"/>
                <w:szCs w:val="17"/>
              </w:rPr>
              <w:t>767,055,749</w:t>
            </w:r>
          </w:p>
        </w:tc>
      </w:tr>
      <w:tr w:rsidR="00D34B59" w:rsidRPr="001045B7" w14:paraId="33E3953B"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43930991"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Mobiliario y Equipo Educacional y Recreativo</w:t>
            </w:r>
          </w:p>
        </w:tc>
        <w:tc>
          <w:tcPr>
            <w:tcW w:w="2301" w:type="dxa"/>
            <w:tcBorders>
              <w:top w:val="single" w:sz="4" w:space="0" w:color="auto"/>
              <w:left w:val="nil"/>
              <w:bottom w:val="single" w:sz="4" w:space="0" w:color="auto"/>
              <w:right w:val="single" w:sz="4" w:space="0" w:color="auto"/>
            </w:tcBorders>
            <w:shd w:val="clear" w:color="auto" w:fill="auto"/>
          </w:tcPr>
          <w:p w14:paraId="7AE2D863" w14:textId="490054AD"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94,380,103 </w:t>
            </w:r>
          </w:p>
        </w:tc>
        <w:tc>
          <w:tcPr>
            <w:tcW w:w="2223" w:type="dxa"/>
            <w:tcBorders>
              <w:top w:val="nil"/>
              <w:left w:val="single" w:sz="4" w:space="0" w:color="auto"/>
              <w:bottom w:val="single" w:sz="4" w:space="0" w:color="auto"/>
              <w:right w:val="single" w:sz="4" w:space="0" w:color="auto"/>
            </w:tcBorders>
            <w:shd w:val="clear" w:color="auto" w:fill="auto"/>
          </w:tcPr>
          <w:p w14:paraId="6B945090" w14:textId="74181CEB"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88,463,010 </w:t>
            </w:r>
          </w:p>
        </w:tc>
      </w:tr>
      <w:tr w:rsidR="00D34B59" w:rsidRPr="001045B7" w14:paraId="01FF6B65"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CE0C815"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Equipo e Instrumental Médico y de Laboratorio</w:t>
            </w:r>
          </w:p>
        </w:tc>
        <w:tc>
          <w:tcPr>
            <w:tcW w:w="2301" w:type="dxa"/>
            <w:tcBorders>
              <w:top w:val="single" w:sz="4" w:space="0" w:color="auto"/>
              <w:left w:val="nil"/>
              <w:bottom w:val="single" w:sz="4" w:space="0" w:color="auto"/>
              <w:right w:val="single" w:sz="4" w:space="0" w:color="auto"/>
            </w:tcBorders>
            <w:shd w:val="clear" w:color="auto" w:fill="auto"/>
          </w:tcPr>
          <w:p w14:paraId="1668AAB1" w14:textId="79D2A283"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25,508,087 </w:t>
            </w:r>
          </w:p>
        </w:tc>
        <w:tc>
          <w:tcPr>
            <w:tcW w:w="2223" w:type="dxa"/>
            <w:tcBorders>
              <w:top w:val="nil"/>
              <w:left w:val="single" w:sz="4" w:space="0" w:color="auto"/>
              <w:bottom w:val="single" w:sz="4" w:space="0" w:color="auto"/>
              <w:right w:val="single" w:sz="4" w:space="0" w:color="auto"/>
            </w:tcBorders>
            <w:shd w:val="clear" w:color="auto" w:fill="auto"/>
          </w:tcPr>
          <w:p w14:paraId="486912B4" w14:textId="5096F292"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24,665,882 </w:t>
            </w:r>
          </w:p>
        </w:tc>
      </w:tr>
      <w:tr w:rsidR="00D34B59" w:rsidRPr="001045B7" w14:paraId="3563A1E7"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EC7B9AA"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Vehículos y Equipo de Transporte</w:t>
            </w:r>
          </w:p>
        </w:tc>
        <w:tc>
          <w:tcPr>
            <w:tcW w:w="2301" w:type="dxa"/>
            <w:tcBorders>
              <w:top w:val="single" w:sz="4" w:space="0" w:color="auto"/>
              <w:left w:val="nil"/>
              <w:bottom w:val="single" w:sz="4" w:space="0" w:color="auto"/>
              <w:right w:val="single" w:sz="4" w:space="0" w:color="auto"/>
            </w:tcBorders>
            <w:shd w:val="clear" w:color="auto" w:fill="auto"/>
          </w:tcPr>
          <w:p w14:paraId="0F2A7C8A" w14:textId="636DE89A" w:rsidR="00D34B59" w:rsidRPr="001045B7" w:rsidRDefault="003B5A84" w:rsidP="00D34B59">
            <w:pPr>
              <w:jc w:val="right"/>
              <w:rPr>
                <w:rFonts w:asciiTheme="minorHAnsi" w:hAnsiTheme="minorHAnsi" w:cstheme="minorHAnsi"/>
                <w:sz w:val="17"/>
                <w:szCs w:val="17"/>
              </w:rPr>
            </w:pPr>
            <w:r w:rsidRPr="001045B7">
              <w:rPr>
                <w:rFonts w:asciiTheme="minorHAnsi" w:hAnsiTheme="minorHAnsi" w:cstheme="minorHAnsi"/>
                <w:sz w:val="17"/>
                <w:szCs w:val="17"/>
              </w:rPr>
              <w:t>926,100,352</w:t>
            </w:r>
            <w:r w:rsidR="00D34B59" w:rsidRPr="001045B7">
              <w:rPr>
                <w:rFonts w:asciiTheme="minorHAnsi" w:hAnsiTheme="minorHAnsi" w:cstheme="minorHAnsi"/>
                <w:sz w:val="17"/>
                <w:szCs w:val="17"/>
              </w:rPr>
              <w:t xml:space="preserve"> </w:t>
            </w:r>
          </w:p>
        </w:tc>
        <w:tc>
          <w:tcPr>
            <w:tcW w:w="2223" w:type="dxa"/>
            <w:tcBorders>
              <w:top w:val="nil"/>
              <w:left w:val="single" w:sz="4" w:space="0" w:color="auto"/>
              <w:bottom w:val="single" w:sz="4" w:space="0" w:color="auto"/>
              <w:right w:val="single" w:sz="4" w:space="0" w:color="auto"/>
            </w:tcBorders>
            <w:shd w:val="clear" w:color="auto" w:fill="auto"/>
          </w:tcPr>
          <w:p w14:paraId="6BF87313" w14:textId="70CE5D5F" w:rsidR="00D34B59" w:rsidRPr="001045B7" w:rsidRDefault="003B5A84" w:rsidP="00D34B59">
            <w:pPr>
              <w:jc w:val="right"/>
              <w:rPr>
                <w:rFonts w:asciiTheme="minorHAnsi" w:hAnsiTheme="minorHAnsi" w:cstheme="minorHAnsi"/>
                <w:sz w:val="17"/>
                <w:szCs w:val="17"/>
              </w:rPr>
            </w:pPr>
            <w:r w:rsidRPr="001045B7">
              <w:rPr>
                <w:rFonts w:asciiTheme="minorHAnsi" w:hAnsiTheme="minorHAnsi" w:cstheme="minorHAnsi"/>
                <w:sz w:val="17"/>
                <w:szCs w:val="17"/>
              </w:rPr>
              <w:t>931,875,022</w:t>
            </w:r>
          </w:p>
        </w:tc>
      </w:tr>
      <w:tr w:rsidR="00D34B59" w:rsidRPr="001045B7" w14:paraId="075562CE"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4A46FA74"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Equipo de Defensa y Seguridad</w:t>
            </w:r>
          </w:p>
        </w:tc>
        <w:tc>
          <w:tcPr>
            <w:tcW w:w="2301" w:type="dxa"/>
            <w:tcBorders>
              <w:top w:val="single" w:sz="4" w:space="0" w:color="auto"/>
              <w:left w:val="nil"/>
              <w:bottom w:val="single" w:sz="4" w:space="0" w:color="auto"/>
              <w:right w:val="single" w:sz="4" w:space="0" w:color="auto"/>
            </w:tcBorders>
            <w:shd w:val="clear" w:color="auto" w:fill="auto"/>
          </w:tcPr>
          <w:p w14:paraId="2002FE52" w14:textId="3725959D"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51,450,130 </w:t>
            </w:r>
          </w:p>
        </w:tc>
        <w:tc>
          <w:tcPr>
            <w:tcW w:w="2223" w:type="dxa"/>
            <w:tcBorders>
              <w:top w:val="nil"/>
              <w:left w:val="single" w:sz="4" w:space="0" w:color="auto"/>
              <w:bottom w:val="single" w:sz="4" w:space="0" w:color="auto"/>
              <w:right w:val="single" w:sz="4" w:space="0" w:color="auto"/>
            </w:tcBorders>
            <w:shd w:val="clear" w:color="auto" w:fill="auto"/>
          </w:tcPr>
          <w:p w14:paraId="2DE362E3" w14:textId="1444FEC2"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62,586,780 </w:t>
            </w:r>
          </w:p>
        </w:tc>
      </w:tr>
      <w:tr w:rsidR="00D34B59" w:rsidRPr="001045B7" w14:paraId="12F73538"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71BC1F1F"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Maquinaria, Otros Equipos y Herramientas</w:t>
            </w:r>
          </w:p>
        </w:tc>
        <w:tc>
          <w:tcPr>
            <w:tcW w:w="2301" w:type="dxa"/>
            <w:tcBorders>
              <w:top w:val="single" w:sz="4" w:space="0" w:color="auto"/>
              <w:left w:val="nil"/>
              <w:bottom w:val="single" w:sz="4" w:space="0" w:color="auto"/>
              <w:right w:val="single" w:sz="4" w:space="0" w:color="auto"/>
            </w:tcBorders>
            <w:shd w:val="clear" w:color="auto" w:fill="auto"/>
          </w:tcPr>
          <w:p w14:paraId="5902E17F" w14:textId="07CEE702"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503,551,815 </w:t>
            </w:r>
          </w:p>
        </w:tc>
        <w:tc>
          <w:tcPr>
            <w:tcW w:w="2223" w:type="dxa"/>
            <w:tcBorders>
              <w:top w:val="nil"/>
              <w:left w:val="single" w:sz="4" w:space="0" w:color="auto"/>
              <w:bottom w:val="single" w:sz="4" w:space="0" w:color="auto"/>
              <w:right w:val="single" w:sz="4" w:space="0" w:color="auto"/>
            </w:tcBorders>
            <w:shd w:val="clear" w:color="auto" w:fill="auto"/>
          </w:tcPr>
          <w:p w14:paraId="5E919B14" w14:textId="16284E72"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479,276,843 </w:t>
            </w:r>
          </w:p>
        </w:tc>
      </w:tr>
      <w:tr w:rsidR="00D34B59" w:rsidRPr="001045B7" w14:paraId="2E122351" w14:textId="77777777" w:rsidTr="00001825">
        <w:trPr>
          <w:trHeight w:val="58"/>
        </w:trPr>
        <w:tc>
          <w:tcPr>
            <w:tcW w:w="4458" w:type="dxa"/>
            <w:tcBorders>
              <w:top w:val="nil"/>
              <w:left w:val="single" w:sz="4" w:space="0" w:color="auto"/>
              <w:bottom w:val="single" w:sz="4" w:space="0" w:color="auto"/>
              <w:right w:val="single" w:sz="4" w:space="0" w:color="auto"/>
            </w:tcBorders>
            <w:shd w:val="clear" w:color="auto" w:fill="auto"/>
          </w:tcPr>
          <w:p w14:paraId="30C16EDA"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Colecciones, Obras de Arte y Objetos Valiosos</w:t>
            </w:r>
          </w:p>
        </w:tc>
        <w:tc>
          <w:tcPr>
            <w:tcW w:w="2301" w:type="dxa"/>
            <w:tcBorders>
              <w:top w:val="single" w:sz="4" w:space="0" w:color="auto"/>
              <w:left w:val="nil"/>
              <w:bottom w:val="single" w:sz="4" w:space="0" w:color="auto"/>
              <w:right w:val="single" w:sz="4" w:space="0" w:color="auto"/>
            </w:tcBorders>
            <w:shd w:val="clear" w:color="auto" w:fill="auto"/>
          </w:tcPr>
          <w:p w14:paraId="07C65BF1" w14:textId="3DC8B603"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37,487,585 </w:t>
            </w:r>
          </w:p>
        </w:tc>
        <w:tc>
          <w:tcPr>
            <w:tcW w:w="2223" w:type="dxa"/>
            <w:tcBorders>
              <w:top w:val="nil"/>
              <w:left w:val="single" w:sz="4" w:space="0" w:color="auto"/>
              <w:bottom w:val="single" w:sz="4" w:space="0" w:color="auto"/>
              <w:right w:val="single" w:sz="4" w:space="0" w:color="auto"/>
            </w:tcBorders>
            <w:shd w:val="clear" w:color="auto" w:fill="auto"/>
          </w:tcPr>
          <w:p w14:paraId="5FC1EF9C" w14:textId="6375BBCE"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35,083,555 </w:t>
            </w:r>
          </w:p>
        </w:tc>
      </w:tr>
      <w:tr w:rsidR="00D34B59" w:rsidRPr="001045B7" w14:paraId="4335DC06" w14:textId="77777777" w:rsidTr="00001825">
        <w:trPr>
          <w:trHeight w:val="58"/>
        </w:trPr>
        <w:tc>
          <w:tcPr>
            <w:tcW w:w="4458" w:type="dxa"/>
            <w:tcBorders>
              <w:top w:val="single" w:sz="4" w:space="0" w:color="auto"/>
              <w:left w:val="single" w:sz="4" w:space="0" w:color="auto"/>
              <w:bottom w:val="single" w:sz="4" w:space="0" w:color="auto"/>
              <w:right w:val="single" w:sz="4" w:space="0" w:color="auto"/>
            </w:tcBorders>
            <w:shd w:val="clear" w:color="auto" w:fill="auto"/>
          </w:tcPr>
          <w:p w14:paraId="08E1A6A2" w14:textId="77777777" w:rsidR="00D34B59" w:rsidRPr="001045B7" w:rsidRDefault="00D34B59" w:rsidP="00D34B59">
            <w:pPr>
              <w:rPr>
                <w:rFonts w:asciiTheme="minorHAnsi" w:hAnsiTheme="minorHAnsi" w:cstheme="minorHAnsi"/>
                <w:sz w:val="17"/>
                <w:szCs w:val="17"/>
              </w:rPr>
            </w:pPr>
            <w:r w:rsidRPr="001045B7">
              <w:rPr>
                <w:rFonts w:asciiTheme="minorHAnsi" w:hAnsiTheme="minorHAnsi" w:cstheme="minorHAnsi"/>
                <w:sz w:val="17"/>
                <w:szCs w:val="17"/>
              </w:rPr>
              <w:t>Activos Biológicos</w:t>
            </w:r>
          </w:p>
        </w:tc>
        <w:tc>
          <w:tcPr>
            <w:tcW w:w="2301" w:type="dxa"/>
            <w:tcBorders>
              <w:top w:val="single" w:sz="4" w:space="0" w:color="auto"/>
              <w:left w:val="nil"/>
              <w:bottom w:val="single" w:sz="4" w:space="0" w:color="auto"/>
              <w:right w:val="single" w:sz="4" w:space="0" w:color="auto"/>
            </w:tcBorders>
            <w:shd w:val="clear" w:color="auto" w:fill="auto"/>
          </w:tcPr>
          <w:p w14:paraId="53C23DE9" w14:textId="7F27E5E5"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612,500 </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DCE022A" w14:textId="26996FBC" w:rsidR="00D34B59" w:rsidRPr="001045B7" w:rsidRDefault="00D34B59" w:rsidP="00D34B59">
            <w:pPr>
              <w:jc w:val="right"/>
              <w:rPr>
                <w:rFonts w:asciiTheme="minorHAnsi" w:hAnsiTheme="minorHAnsi" w:cstheme="minorHAnsi"/>
                <w:sz w:val="17"/>
                <w:szCs w:val="17"/>
              </w:rPr>
            </w:pPr>
            <w:r w:rsidRPr="001045B7">
              <w:rPr>
                <w:rFonts w:asciiTheme="minorHAnsi" w:hAnsiTheme="minorHAnsi" w:cstheme="minorHAnsi"/>
                <w:sz w:val="17"/>
                <w:szCs w:val="17"/>
              </w:rPr>
              <w:t xml:space="preserve"> 756,500 </w:t>
            </w:r>
          </w:p>
        </w:tc>
      </w:tr>
      <w:tr w:rsidR="00D34B59" w:rsidRPr="001045B7" w14:paraId="63F002FA" w14:textId="77777777" w:rsidTr="00001825">
        <w:trPr>
          <w:trHeight w:val="240"/>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46B90F" w14:textId="77777777" w:rsidR="00D34B59" w:rsidRPr="001045B7" w:rsidRDefault="00D34B59" w:rsidP="00D34B59">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3636FD" w14:textId="71EFF76F"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2,459,188,033 </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846C6" w14:textId="402E12F7"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2,389,763,342 </w:t>
            </w:r>
          </w:p>
        </w:tc>
      </w:tr>
    </w:tbl>
    <w:p w14:paraId="7923D9D7" w14:textId="2C72D76C" w:rsidR="0081593C" w:rsidRPr="001045B7" w:rsidRDefault="0081593C" w:rsidP="00001825">
      <w:pPr>
        <w:pStyle w:val="Prrafodelista"/>
        <w:spacing w:line="276" w:lineRule="auto"/>
        <w:ind w:left="0"/>
        <w:jc w:val="both"/>
        <w:rPr>
          <w:rFonts w:asciiTheme="minorHAnsi" w:hAnsiTheme="minorHAnsi" w:cstheme="minorHAnsi"/>
          <w:sz w:val="17"/>
          <w:szCs w:val="17"/>
        </w:rPr>
      </w:pPr>
    </w:p>
    <w:p w14:paraId="780096D0" w14:textId="18076B5E" w:rsidR="00CB13C9" w:rsidRPr="001045B7" w:rsidRDefault="00593173"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El rubro de Bienes Muebles, presenta un incremento del 3% </w:t>
      </w:r>
      <w:r w:rsidR="0089784F" w:rsidRPr="001045B7">
        <w:rPr>
          <w:rFonts w:asciiTheme="minorHAnsi" w:hAnsiTheme="minorHAnsi" w:cstheme="minorHAnsi"/>
          <w:sz w:val="17"/>
          <w:szCs w:val="17"/>
        </w:rPr>
        <w:t xml:space="preserve">(tres por ciento) </w:t>
      </w:r>
      <w:r w:rsidRPr="001045B7">
        <w:rPr>
          <w:rFonts w:asciiTheme="minorHAnsi" w:hAnsiTheme="minorHAnsi" w:cstheme="minorHAnsi"/>
          <w:sz w:val="17"/>
          <w:szCs w:val="17"/>
        </w:rPr>
        <w:t>derivado principalmente por la adquisición de equipo de cómputo y de tecnologías de la información seguido de maquinaria y otros equipos y herramientas.</w:t>
      </w:r>
    </w:p>
    <w:p w14:paraId="0E5358FE" w14:textId="4071D746" w:rsidR="00593173" w:rsidRPr="001045B7" w:rsidRDefault="00593173" w:rsidP="00001825">
      <w:pPr>
        <w:pStyle w:val="Prrafodelista"/>
        <w:spacing w:line="276" w:lineRule="auto"/>
        <w:ind w:left="0"/>
        <w:jc w:val="both"/>
        <w:rPr>
          <w:rFonts w:asciiTheme="minorHAnsi" w:hAnsiTheme="minorHAnsi" w:cstheme="minorHAnsi"/>
          <w:sz w:val="17"/>
          <w:szCs w:val="17"/>
        </w:rPr>
      </w:pPr>
    </w:p>
    <w:p w14:paraId="6A5C744A" w14:textId="77E62F3E" w:rsidR="009A4ED2" w:rsidRPr="001045B7" w:rsidRDefault="009A4ED2" w:rsidP="00001825">
      <w:pPr>
        <w:pStyle w:val="Prrafodelista"/>
        <w:spacing w:line="276" w:lineRule="auto"/>
        <w:ind w:left="0"/>
        <w:jc w:val="both"/>
        <w:rPr>
          <w:rFonts w:asciiTheme="minorHAnsi" w:hAnsiTheme="minorHAnsi" w:cstheme="minorHAnsi"/>
          <w:sz w:val="17"/>
          <w:szCs w:val="17"/>
        </w:rPr>
      </w:pPr>
    </w:p>
    <w:p w14:paraId="54AF6119" w14:textId="672CD46C" w:rsidR="009A4ED2" w:rsidRPr="001045B7" w:rsidRDefault="009A4ED2" w:rsidP="00001825">
      <w:pPr>
        <w:pStyle w:val="Prrafodelista"/>
        <w:spacing w:line="276" w:lineRule="auto"/>
        <w:ind w:left="0"/>
        <w:jc w:val="both"/>
        <w:rPr>
          <w:rFonts w:asciiTheme="minorHAnsi" w:hAnsiTheme="minorHAnsi" w:cstheme="minorHAnsi"/>
          <w:sz w:val="17"/>
          <w:szCs w:val="17"/>
        </w:rPr>
      </w:pPr>
    </w:p>
    <w:p w14:paraId="7BC8AEA5" w14:textId="299104C2" w:rsidR="0081593C"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Se informa de manera agrupada por cuenta, los rubros de bienes muebles,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de la depreciación del ejercicio y la acumulada, el método de depreciación, tasas aplicadas y los criterios de aplicación de los mismos. Asimismo, se informa de las características significativas del estado en</w:t>
      </w:r>
      <w:r w:rsidR="00F935F9" w:rsidRPr="001045B7">
        <w:rPr>
          <w:rFonts w:asciiTheme="minorHAnsi" w:hAnsiTheme="minorHAnsi" w:cstheme="minorHAnsi"/>
          <w:sz w:val="17"/>
          <w:szCs w:val="17"/>
        </w:rPr>
        <w:t xml:space="preserve"> que se encuentran los activos:</w:t>
      </w:r>
    </w:p>
    <w:p w14:paraId="2303E652" w14:textId="77777777" w:rsidR="00001825" w:rsidRPr="001045B7" w:rsidRDefault="00001825" w:rsidP="00001825">
      <w:pPr>
        <w:spacing w:before="80" w:line="250" w:lineRule="exact"/>
        <w:ind w:left="426" w:hanging="426"/>
        <w:jc w:val="center"/>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p w14:paraId="67A79DFF" w14:textId="77777777" w:rsidR="00001825" w:rsidRPr="001045B7" w:rsidRDefault="00001825" w:rsidP="00001825">
      <w:pPr>
        <w:spacing w:before="80" w:line="250" w:lineRule="exact"/>
        <w:ind w:right="-1559"/>
        <w:jc w:val="both"/>
        <w:rPr>
          <w:rFonts w:asciiTheme="minorHAnsi" w:eastAsia="Calibri" w:hAnsiTheme="minorHAnsi" w:cstheme="minorHAnsi"/>
          <w:spacing w:val="-1"/>
          <w:sz w:val="17"/>
          <w:szCs w:val="17"/>
        </w:rPr>
      </w:pPr>
    </w:p>
    <w:tbl>
      <w:tblPr>
        <w:tblpPr w:leftFromText="141" w:rightFromText="141" w:vertAnchor="text" w:horzAnchor="page" w:tblpX="2182" w:tblpY="-160"/>
        <w:tblW w:w="11619" w:type="dxa"/>
        <w:tblCellMar>
          <w:left w:w="70" w:type="dxa"/>
          <w:right w:w="70" w:type="dxa"/>
        </w:tblCellMar>
        <w:tblLook w:val="04A0" w:firstRow="1" w:lastRow="0" w:firstColumn="1" w:lastColumn="0" w:noHBand="0" w:noVBand="1"/>
      </w:tblPr>
      <w:tblGrid>
        <w:gridCol w:w="1980"/>
        <w:gridCol w:w="1276"/>
        <w:gridCol w:w="1275"/>
        <w:gridCol w:w="1276"/>
        <w:gridCol w:w="1559"/>
        <w:gridCol w:w="1620"/>
        <w:gridCol w:w="1215"/>
        <w:gridCol w:w="1418"/>
      </w:tblGrid>
      <w:tr w:rsidR="00001825" w:rsidRPr="001045B7" w14:paraId="709373D9" w14:textId="77777777" w:rsidTr="00001825">
        <w:trPr>
          <w:trHeight w:val="302"/>
        </w:trPr>
        <w:tc>
          <w:tcPr>
            <w:tcW w:w="198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465210C" w14:textId="77777777" w:rsidR="00001825" w:rsidRPr="001045B7" w:rsidRDefault="00001825" w:rsidP="00001825">
            <w:pPr>
              <w:ind w:left="492" w:hanging="425"/>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 de bienes muebles</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56B181EE"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de depreciación del ejercicio</w:t>
            </w:r>
          </w:p>
        </w:tc>
        <w:tc>
          <w:tcPr>
            <w:tcW w:w="1275" w:type="dxa"/>
            <w:vMerge w:val="restart"/>
            <w:tcBorders>
              <w:top w:val="single" w:sz="4" w:space="0" w:color="auto"/>
              <w:left w:val="nil"/>
              <w:right w:val="single" w:sz="4" w:space="0" w:color="auto"/>
            </w:tcBorders>
            <w:shd w:val="clear" w:color="auto" w:fill="BFBFBF" w:themeFill="background1" w:themeFillShade="BF"/>
            <w:vAlign w:val="center"/>
            <w:hideMark/>
          </w:tcPr>
          <w:p w14:paraId="72D2669E"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 de depreciación acumulada</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0CB7AF77"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Método de depreciación</w:t>
            </w:r>
          </w:p>
        </w:tc>
        <w:tc>
          <w:tcPr>
            <w:tcW w:w="1559" w:type="dxa"/>
            <w:vMerge w:val="restart"/>
            <w:tcBorders>
              <w:top w:val="single" w:sz="4" w:space="0" w:color="auto"/>
              <w:left w:val="nil"/>
              <w:right w:val="single" w:sz="4" w:space="0" w:color="auto"/>
            </w:tcBorders>
            <w:shd w:val="clear" w:color="auto" w:fill="BFBFBF" w:themeFill="background1" w:themeFillShade="BF"/>
            <w:vAlign w:val="center"/>
            <w:hideMark/>
          </w:tcPr>
          <w:p w14:paraId="7DD329A4"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Tasa aplicada</w:t>
            </w:r>
          </w:p>
        </w:tc>
        <w:tc>
          <w:tcPr>
            <w:tcW w:w="1620" w:type="dxa"/>
            <w:vMerge w:val="restart"/>
            <w:tcBorders>
              <w:top w:val="single" w:sz="4" w:space="0" w:color="auto"/>
              <w:left w:val="nil"/>
              <w:right w:val="single" w:sz="4" w:space="0" w:color="auto"/>
            </w:tcBorders>
            <w:shd w:val="clear" w:color="auto" w:fill="BFBFBF" w:themeFill="background1" w:themeFillShade="BF"/>
            <w:vAlign w:val="center"/>
            <w:hideMark/>
          </w:tcPr>
          <w:p w14:paraId="28F1685F"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Criterio de aplicación</w:t>
            </w:r>
          </w:p>
        </w:tc>
        <w:tc>
          <w:tcPr>
            <w:tcW w:w="2633"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503DDEA6"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Características significativas del estado en que encuentren</w:t>
            </w:r>
          </w:p>
        </w:tc>
      </w:tr>
      <w:tr w:rsidR="00001825" w:rsidRPr="001045B7" w14:paraId="31A66697" w14:textId="77777777" w:rsidTr="00001825">
        <w:trPr>
          <w:trHeight w:val="454"/>
        </w:trPr>
        <w:tc>
          <w:tcPr>
            <w:tcW w:w="198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3D03B19" w14:textId="77777777" w:rsidR="00001825" w:rsidRPr="001045B7" w:rsidRDefault="00001825" w:rsidP="00001825">
            <w:pPr>
              <w:jc w:val="center"/>
              <w:rPr>
                <w:rFonts w:asciiTheme="minorHAnsi" w:hAnsiTheme="minorHAnsi" w:cstheme="minorHAnsi"/>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4678243E" w14:textId="77777777" w:rsidR="00001825" w:rsidRPr="001045B7" w:rsidRDefault="00001825" w:rsidP="00001825">
            <w:pPr>
              <w:jc w:val="center"/>
              <w:rPr>
                <w:rFonts w:asciiTheme="minorHAnsi" w:hAnsiTheme="minorHAnsi" w:cstheme="minorHAnsi"/>
                <w:b/>
                <w:bCs/>
                <w:color w:val="000000"/>
                <w:sz w:val="17"/>
                <w:szCs w:val="17"/>
              </w:rPr>
            </w:pPr>
          </w:p>
        </w:tc>
        <w:tc>
          <w:tcPr>
            <w:tcW w:w="1275" w:type="dxa"/>
            <w:vMerge/>
            <w:tcBorders>
              <w:left w:val="nil"/>
              <w:bottom w:val="single" w:sz="4" w:space="0" w:color="auto"/>
              <w:right w:val="single" w:sz="4" w:space="0" w:color="auto"/>
            </w:tcBorders>
            <w:shd w:val="clear" w:color="auto" w:fill="BFBFBF" w:themeFill="background1" w:themeFillShade="BF"/>
            <w:vAlign w:val="center"/>
          </w:tcPr>
          <w:p w14:paraId="0A134986" w14:textId="77777777" w:rsidR="00001825" w:rsidRPr="001045B7" w:rsidRDefault="00001825" w:rsidP="00001825">
            <w:pPr>
              <w:jc w:val="center"/>
              <w:rPr>
                <w:rFonts w:asciiTheme="minorHAnsi" w:hAnsiTheme="minorHAnsi" w:cstheme="minorHAnsi"/>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20F85BD8" w14:textId="77777777" w:rsidR="00001825" w:rsidRPr="001045B7" w:rsidRDefault="00001825" w:rsidP="00001825">
            <w:pPr>
              <w:jc w:val="center"/>
              <w:rPr>
                <w:rFonts w:asciiTheme="minorHAnsi" w:hAnsiTheme="minorHAnsi" w:cstheme="minorHAnsi"/>
                <w:b/>
                <w:bCs/>
                <w:color w:val="000000"/>
                <w:sz w:val="17"/>
                <w:szCs w:val="17"/>
              </w:rPr>
            </w:pPr>
          </w:p>
        </w:tc>
        <w:tc>
          <w:tcPr>
            <w:tcW w:w="1559" w:type="dxa"/>
            <w:vMerge/>
            <w:tcBorders>
              <w:left w:val="nil"/>
              <w:bottom w:val="single" w:sz="4" w:space="0" w:color="auto"/>
              <w:right w:val="single" w:sz="4" w:space="0" w:color="auto"/>
            </w:tcBorders>
            <w:shd w:val="clear" w:color="auto" w:fill="BFBFBF" w:themeFill="background1" w:themeFillShade="BF"/>
            <w:vAlign w:val="center"/>
          </w:tcPr>
          <w:p w14:paraId="72E82FDA" w14:textId="77777777" w:rsidR="00001825" w:rsidRPr="001045B7" w:rsidRDefault="00001825" w:rsidP="00001825">
            <w:pPr>
              <w:jc w:val="center"/>
              <w:rPr>
                <w:rFonts w:asciiTheme="minorHAnsi" w:hAnsiTheme="minorHAnsi" w:cstheme="minorHAnsi"/>
                <w:b/>
                <w:bCs/>
                <w:color w:val="000000"/>
                <w:sz w:val="17"/>
                <w:szCs w:val="17"/>
              </w:rPr>
            </w:pPr>
          </w:p>
        </w:tc>
        <w:tc>
          <w:tcPr>
            <w:tcW w:w="1620" w:type="dxa"/>
            <w:vMerge/>
            <w:tcBorders>
              <w:left w:val="nil"/>
              <w:bottom w:val="single" w:sz="4" w:space="0" w:color="auto"/>
              <w:right w:val="single" w:sz="4" w:space="0" w:color="auto"/>
            </w:tcBorders>
            <w:shd w:val="clear" w:color="auto" w:fill="BFBFBF" w:themeFill="background1" w:themeFillShade="BF"/>
            <w:vAlign w:val="center"/>
          </w:tcPr>
          <w:p w14:paraId="5080BBD9" w14:textId="77777777" w:rsidR="00001825" w:rsidRPr="001045B7" w:rsidRDefault="00001825" w:rsidP="00001825">
            <w:pPr>
              <w:jc w:val="center"/>
              <w:rPr>
                <w:rFonts w:asciiTheme="minorHAnsi" w:hAnsiTheme="minorHAnsi" w:cstheme="minorHAnsi"/>
                <w:b/>
                <w:bCs/>
                <w:color w:val="000000"/>
                <w:sz w:val="17"/>
                <w:szCs w:val="17"/>
              </w:rPr>
            </w:pPr>
          </w:p>
        </w:tc>
        <w:tc>
          <w:tcPr>
            <w:tcW w:w="1215" w:type="dxa"/>
            <w:tcBorders>
              <w:top w:val="single" w:sz="4" w:space="0" w:color="auto"/>
              <w:left w:val="nil"/>
              <w:bottom w:val="single" w:sz="4" w:space="0" w:color="auto"/>
              <w:right w:val="single" w:sz="4" w:space="0" w:color="auto"/>
            </w:tcBorders>
            <w:shd w:val="clear" w:color="auto" w:fill="BFBFBF" w:themeFill="background1" w:themeFillShade="BF"/>
          </w:tcPr>
          <w:p w14:paraId="75B36532"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Aptos para su uso</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7E3E288B"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No Aptos o Inservibles</w:t>
            </w:r>
          </w:p>
        </w:tc>
      </w:tr>
      <w:tr w:rsidR="00686A1D" w:rsidRPr="001045B7" w14:paraId="260734A2"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BA7FB4"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Mobiliario y equipo de administración</w:t>
            </w:r>
          </w:p>
        </w:tc>
        <w:tc>
          <w:tcPr>
            <w:tcW w:w="1276" w:type="dxa"/>
            <w:tcBorders>
              <w:top w:val="nil"/>
              <w:left w:val="nil"/>
              <w:bottom w:val="single" w:sz="4" w:space="0" w:color="auto"/>
              <w:right w:val="single" w:sz="4" w:space="0" w:color="auto"/>
            </w:tcBorders>
            <w:shd w:val="clear" w:color="auto" w:fill="auto"/>
          </w:tcPr>
          <w:p w14:paraId="28C1F5DB" w14:textId="5F1FE749"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60,841,220 </w:t>
            </w:r>
          </w:p>
        </w:tc>
        <w:tc>
          <w:tcPr>
            <w:tcW w:w="1275" w:type="dxa"/>
            <w:tcBorders>
              <w:top w:val="nil"/>
              <w:left w:val="nil"/>
              <w:bottom w:val="single" w:sz="4" w:space="0" w:color="auto"/>
              <w:right w:val="single" w:sz="4" w:space="0" w:color="auto"/>
            </w:tcBorders>
            <w:shd w:val="clear" w:color="auto" w:fill="auto"/>
          </w:tcPr>
          <w:p w14:paraId="3401A7C1" w14:textId="14C1F486"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653,864,201 </w:t>
            </w:r>
          </w:p>
        </w:tc>
        <w:tc>
          <w:tcPr>
            <w:tcW w:w="1276" w:type="dxa"/>
            <w:tcBorders>
              <w:top w:val="nil"/>
              <w:left w:val="nil"/>
              <w:bottom w:val="single" w:sz="4" w:space="0" w:color="auto"/>
              <w:right w:val="single" w:sz="4" w:space="0" w:color="auto"/>
            </w:tcBorders>
            <w:shd w:val="clear" w:color="auto" w:fill="auto"/>
            <w:hideMark/>
          </w:tcPr>
          <w:p w14:paraId="3E8D5EBF"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507891BD"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10 y 33.3 % anual</w:t>
            </w:r>
          </w:p>
        </w:tc>
        <w:tc>
          <w:tcPr>
            <w:tcW w:w="1620" w:type="dxa"/>
            <w:tcBorders>
              <w:top w:val="nil"/>
              <w:left w:val="nil"/>
              <w:bottom w:val="single" w:sz="4" w:space="0" w:color="auto"/>
              <w:right w:val="single" w:sz="4" w:space="0" w:color="auto"/>
            </w:tcBorders>
            <w:shd w:val="clear" w:color="auto" w:fill="auto"/>
            <w:vAlign w:val="center"/>
            <w:hideMark/>
          </w:tcPr>
          <w:p w14:paraId="3C7BDD05"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Emitido por CONAC</w:t>
            </w:r>
          </w:p>
        </w:tc>
        <w:tc>
          <w:tcPr>
            <w:tcW w:w="1215" w:type="dxa"/>
            <w:tcBorders>
              <w:top w:val="single" w:sz="4" w:space="0" w:color="auto"/>
              <w:left w:val="nil"/>
              <w:bottom w:val="single" w:sz="4" w:space="0" w:color="auto"/>
              <w:right w:val="single" w:sz="4" w:space="0" w:color="auto"/>
            </w:tcBorders>
            <w:shd w:val="clear" w:color="auto" w:fill="auto"/>
          </w:tcPr>
          <w:p w14:paraId="76DAEF17" w14:textId="6F295C6F"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57,245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13433C" w14:textId="4D8757B0"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5,485</w:t>
            </w:r>
          </w:p>
        </w:tc>
      </w:tr>
      <w:tr w:rsidR="00686A1D" w:rsidRPr="001045B7" w14:paraId="30033540"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7AEA8A"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Mobiliario y equipo educacional y recreativo</w:t>
            </w:r>
          </w:p>
        </w:tc>
        <w:tc>
          <w:tcPr>
            <w:tcW w:w="1276" w:type="dxa"/>
            <w:tcBorders>
              <w:top w:val="nil"/>
              <w:left w:val="nil"/>
              <w:bottom w:val="single" w:sz="4" w:space="0" w:color="auto"/>
              <w:right w:val="single" w:sz="4" w:space="0" w:color="auto"/>
            </w:tcBorders>
            <w:shd w:val="clear" w:color="auto" w:fill="auto"/>
          </w:tcPr>
          <w:p w14:paraId="6F84991B" w14:textId="5DC48471"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4,290,848 </w:t>
            </w:r>
          </w:p>
        </w:tc>
        <w:tc>
          <w:tcPr>
            <w:tcW w:w="1275" w:type="dxa"/>
            <w:tcBorders>
              <w:top w:val="nil"/>
              <w:left w:val="nil"/>
              <w:bottom w:val="single" w:sz="4" w:space="0" w:color="auto"/>
              <w:right w:val="single" w:sz="4" w:space="0" w:color="auto"/>
            </w:tcBorders>
            <w:shd w:val="clear" w:color="auto" w:fill="auto"/>
          </w:tcPr>
          <w:p w14:paraId="4CF28D14" w14:textId="1495244B"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73,113,953 </w:t>
            </w:r>
          </w:p>
        </w:tc>
        <w:tc>
          <w:tcPr>
            <w:tcW w:w="1276" w:type="dxa"/>
            <w:tcBorders>
              <w:top w:val="nil"/>
              <w:left w:val="nil"/>
              <w:bottom w:val="single" w:sz="4" w:space="0" w:color="auto"/>
              <w:right w:val="single" w:sz="4" w:space="0" w:color="auto"/>
            </w:tcBorders>
            <w:shd w:val="clear" w:color="auto" w:fill="auto"/>
            <w:hideMark/>
          </w:tcPr>
          <w:p w14:paraId="101B243E"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7C4A082E"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20 y 33.3 % anual</w:t>
            </w:r>
          </w:p>
        </w:tc>
        <w:tc>
          <w:tcPr>
            <w:tcW w:w="1620" w:type="dxa"/>
            <w:tcBorders>
              <w:top w:val="nil"/>
              <w:left w:val="nil"/>
              <w:bottom w:val="single" w:sz="4" w:space="0" w:color="auto"/>
              <w:right w:val="single" w:sz="4" w:space="0" w:color="auto"/>
            </w:tcBorders>
            <w:shd w:val="clear" w:color="auto" w:fill="auto"/>
            <w:vAlign w:val="center"/>
            <w:hideMark/>
          </w:tcPr>
          <w:p w14:paraId="3F28CC9D"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1B3E7F46" w14:textId="7C565F5F"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4,539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A56AE9" w14:textId="40A426C9"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291</w:t>
            </w:r>
          </w:p>
        </w:tc>
      </w:tr>
      <w:tr w:rsidR="00686A1D" w:rsidRPr="001045B7" w14:paraId="5A6BA9F4"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1EB278"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Equipo e instrumental médico y de laboratorio</w:t>
            </w:r>
          </w:p>
        </w:tc>
        <w:tc>
          <w:tcPr>
            <w:tcW w:w="1276" w:type="dxa"/>
            <w:tcBorders>
              <w:top w:val="nil"/>
              <w:left w:val="nil"/>
              <w:bottom w:val="single" w:sz="4" w:space="0" w:color="auto"/>
              <w:right w:val="single" w:sz="4" w:space="0" w:color="auto"/>
            </w:tcBorders>
            <w:shd w:val="clear" w:color="auto" w:fill="auto"/>
          </w:tcPr>
          <w:p w14:paraId="62B14D61" w14:textId="20A3C4D5"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788,496 </w:t>
            </w:r>
          </w:p>
        </w:tc>
        <w:tc>
          <w:tcPr>
            <w:tcW w:w="1275" w:type="dxa"/>
            <w:tcBorders>
              <w:top w:val="nil"/>
              <w:left w:val="nil"/>
              <w:bottom w:val="single" w:sz="4" w:space="0" w:color="auto"/>
              <w:right w:val="single" w:sz="4" w:space="0" w:color="auto"/>
            </w:tcBorders>
            <w:shd w:val="clear" w:color="auto" w:fill="auto"/>
          </w:tcPr>
          <w:p w14:paraId="46F26D63" w14:textId="5DB871E2"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23,243,161 </w:t>
            </w:r>
          </w:p>
        </w:tc>
        <w:tc>
          <w:tcPr>
            <w:tcW w:w="1276" w:type="dxa"/>
            <w:tcBorders>
              <w:top w:val="nil"/>
              <w:left w:val="nil"/>
              <w:bottom w:val="single" w:sz="4" w:space="0" w:color="auto"/>
              <w:right w:val="single" w:sz="4" w:space="0" w:color="auto"/>
            </w:tcBorders>
            <w:shd w:val="clear" w:color="auto" w:fill="auto"/>
            <w:hideMark/>
          </w:tcPr>
          <w:p w14:paraId="5D5B3F10"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108F2953"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5F3106D4"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76DFDD43" w14:textId="26F6C72C"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567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3842E9" w14:textId="11EFA786"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59</w:t>
            </w:r>
          </w:p>
        </w:tc>
      </w:tr>
      <w:tr w:rsidR="00686A1D" w:rsidRPr="001045B7" w14:paraId="0FFBDD1E"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F63D027"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Equipo de transporte</w:t>
            </w:r>
          </w:p>
        </w:tc>
        <w:tc>
          <w:tcPr>
            <w:tcW w:w="1276" w:type="dxa"/>
            <w:tcBorders>
              <w:top w:val="nil"/>
              <w:left w:val="nil"/>
              <w:bottom w:val="single" w:sz="4" w:space="0" w:color="auto"/>
              <w:right w:val="single" w:sz="4" w:space="0" w:color="auto"/>
            </w:tcBorders>
            <w:shd w:val="clear" w:color="auto" w:fill="auto"/>
          </w:tcPr>
          <w:p w14:paraId="63355231" w14:textId="7F7C2A93"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-14,217,564 </w:t>
            </w:r>
          </w:p>
        </w:tc>
        <w:tc>
          <w:tcPr>
            <w:tcW w:w="1275" w:type="dxa"/>
            <w:tcBorders>
              <w:top w:val="nil"/>
              <w:left w:val="nil"/>
              <w:bottom w:val="single" w:sz="4" w:space="0" w:color="auto"/>
              <w:right w:val="single" w:sz="4" w:space="0" w:color="auto"/>
            </w:tcBorders>
            <w:shd w:val="clear" w:color="auto" w:fill="auto"/>
          </w:tcPr>
          <w:p w14:paraId="0F9EFC8B" w14:textId="430A9532"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788,181,728 </w:t>
            </w:r>
          </w:p>
        </w:tc>
        <w:tc>
          <w:tcPr>
            <w:tcW w:w="1276" w:type="dxa"/>
            <w:tcBorders>
              <w:top w:val="nil"/>
              <w:left w:val="nil"/>
              <w:bottom w:val="single" w:sz="4" w:space="0" w:color="auto"/>
              <w:right w:val="single" w:sz="4" w:space="0" w:color="auto"/>
            </w:tcBorders>
            <w:shd w:val="clear" w:color="auto" w:fill="auto"/>
            <w:hideMark/>
          </w:tcPr>
          <w:p w14:paraId="614B12B2"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18192B55"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18A0083D"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4E68D404" w14:textId="6F5D1FFF"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3,486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9A7EB6" w14:textId="63BB6DAB"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126</w:t>
            </w:r>
          </w:p>
        </w:tc>
      </w:tr>
      <w:tr w:rsidR="00686A1D" w:rsidRPr="001045B7" w14:paraId="723EACB9"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5E88F0"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Equipo de defensa y seguridad</w:t>
            </w:r>
          </w:p>
        </w:tc>
        <w:tc>
          <w:tcPr>
            <w:tcW w:w="1276" w:type="dxa"/>
            <w:tcBorders>
              <w:top w:val="nil"/>
              <w:left w:val="nil"/>
              <w:bottom w:val="single" w:sz="4" w:space="0" w:color="auto"/>
              <w:right w:val="single" w:sz="4" w:space="0" w:color="auto"/>
            </w:tcBorders>
            <w:shd w:val="clear" w:color="auto" w:fill="auto"/>
          </w:tcPr>
          <w:p w14:paraId="61B82C23" w14:textId="128F2708"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-10,401,417 </w:t>
            </w:r>
          </w:p>
        </w:tc>
        <w:tc>
          <w:tcPr>
            <w:tcW w:w="1275" w:type="dxa"/>
            <w:tcBorders>
              <w:top w:val="nil"/>
              <w:left w:val="nil"/>
              <w:bottom w:val="single" w:sz="4" w:space="0" w:color="auto"/>
              <w:right w:val="single" w:sz="4" w:space="0" w:color="auto"/>
            </w:tcBorders>
            <w:shd w:val="clear" w:color="auto" w:fill="auto"/>
          </w:tcPr>
          <w:p w14:paraId="71822975" w14:textId="5DD267DD"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49,292,109 </w:t>
            </w:r>
          </w:p>
        </w:tc>
        <w:tc>
          <w:tcPr>
            <w:tcW w:w="1276" w:type="dxa"/>
            <w:tcBorders>
              <w:top w:val="nil"/>
              <w:left w:val="nil"/>
              <w:bottom w:val="single" w:sz="4" w:space="0" w:color="auto"/>
              <w:right w:val="single" w:sz="4" w:space="0" w:color="auto"/>
            </w:tcBorders>
            <w:shd w:val="clear" w:color="auto" w:fill="auto"/>
            <w:hideMark/>
          </w:tcPr>
          <w:p w14:paraId="297D592D"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48D2EDF0"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5EFEDAD1"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721D5A77" w14:textId="2F16954A"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2,684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247F90" w14:textId="4F7BE049"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234</w:t>
            </w:r>
          </w:p>
        </w:tc>
      </w:tr>
      <w:tr w:rsidR="00686A1D" w:rsidRPr="001045B7" w14:paraId="5529DE64"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9752752"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Maquinaria, otros equipos y herramientas</w:t>
            </w:r>
          </w:p>
        </w:tc>
        <w:tc>
          <w:tcPr>
            <w:tcW w:w="1276" w:type="dxa"/>
            <w:tcBorders>
              <w:top w:val="nil"/>
              <w:left w:val="nil"/>
              <w:bottom w:val="single" w:sz="4" w:space="0" w:color="auto"/>
              <w:right w:val="single" w:sz="4" w:space="0" w:color="auto"/>
            </w:tcBorders>
            <w:shd w:val="clear" w:color="auto" w:fill="auto"/>
          </w:tcPr>
          <w:p w14:paraId="4E726734" w14:textId="274E2EBD"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26,162,678 </w:t>
            </w:r>
          </w:p>
        </w:tc>
        <w:tc>
          <w:tcPr>
            <w:tcW w:w="1275" w:type="dxa"/>
            <w:tcBorders>
              <w:top w:val="nil"/>
              <w:left w:val="nil"/>
              <w:bottom w:val="single" w:sz="4" w:space="0" w:color="auto"/>
              <w:right w:val="single" w:sz="4" w:space="0" w:color="auto"/>
            </w:tcBorders>
            <w:shd w:val="clear" w:color="auto" w:fill="auto"/>
          </w:tcPr>
          <w:p w14:paraId="15EE1DBE" w14:textId="785783D0" w:rsidR="00686A1D" w:rsidRPr="001045B7" w:rsidRDefault="00686A1D" w:rsidP="00686A1D">
            <w:pPr>
              <w:jc w:val="right"/>
              <w:rPr>
                <w:rFonts w:asciiTheme="minorHAnsi" w:hAnsiTheme="minorHAnsi" w:cstheme="minorHAnsi"/>
                <w:sz w:val="17"/>
                <w:szCs w:val="17"/>
              </w:rPr>
            </w:pPr>
            <w:r w:rsidRPr="001045B7">
              <w:rPr>
                <w:rFonts w:asciiTheme="minorHAnsi" w:hAnsiTheme="minorHAnsi" w:cstheme="minorHAnsi"/>
                <w:sz w:val="17"/>
                <w:szCs w:val="17"/>
              </w:rPr>
              <w:t xml:space="preserve"> 344,019,817 </w:t>
            </w:r>
          </w:p>
        </w:tc>
        <w:tc>
          <w:tcPr>
            <w:tcW w:w="1276" w:type="dxa"/>
            <w:tcBorders>
              <w:top w:val="nil"/>
              <w:left w:val="nil"/>
              <w:bottom w:val="single" w:sz="4" w:space="0" w:color="auto"/>
              <w:right w:val="single" w:sz="4" w:space="0" w:color="auto"/>
            </w:tcBorders>
            <w:shd w:val="clear" w:color="auto" w:fill="auto"/>
            <w:hideMark/>
          </w:tcPr>
          <w:p w14:paraId="6AF7D26B"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40504F41" w14:textId="77777777" w:rsidR="00686A1D" w:rsidRPr="001045B7" w:rsidRDefault="00686A1D" w:rsidP="00686A1D">
            <w:pPr>
              <w:rPr>
                <w:rFonts w:asciiTheme="minorHAnsi" w:hAnsiTheme="minorHAnsi" w:cstheme="minorHAnsi"/>
                <w:sz w:val="17"/>
                <w:szCs w:val="17"/>
              </w:rPr>
            </w:pPr>
            <w:r w:rsidRPr="001045B7">
              <w:rPr>
                <w:rFonts w:asciiTheme="minorHAnsi" w:hAnsiTheme="minorHAnsi" w:cstheme="minorHAnsi"/>
                <w:sz w:val="17"/>
                <w:szCs w:val="17"/>
              </w:rPr>
              <w:t>10% anual</w:t>
            </w:r>
          </w:p>
        </w:tc>
        <w:tc>
          <w:tcPr>
            <w:tcW w:w="1620" w:type="dxa"/>
            <w:tcBorders>
              <w:top w:val="nil"/>
              <w:left w:val="nil"/>
              <w:bottom w:val="single" w:sz="4" w:space="0" w:color="auto"/>
              <w:right w:val="single" w:sz="4" w:space="0" w:color="auto"/>
            </w:tcBorders>
            <w:shd w:val="clear" w:color="auto" w:fill="auto"/>
            <w:vAlign w:val="center"/>
            <w:hideMark/>
          </w:tcPr>
          <w:p w14:paraId="63FD382B" w14:textId="77777777" w:rsidR="00686A1D" w:rsidRPr="001045B7" w:rsidRDefault="00686A1D" w:rsidP="00686A1D">
            <w:pPr>
              <w:rPr>
                <w:rFonts w:asciiTheme="minorHAnsi" w:hAnsiTheme="minorHAnsi" w:cstheme="minorHAnsi"/>
                <w:color w:val="000000"/>
                <w:sz w:val="17"/>
                <w:szCs w:val="17"/>
              </w:rPr>
            </w:pPr>
            <w:r w:rsidRPr="001045B7">
              <w:rPr>
                <w:rFonts w:asciiTheme="minorHAnsi" w:hAnsiTheme="minorHAnsi" w:cstheme="minorHAnsi"/>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0460B55F" w14:textId="7732BF08"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11,387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1AB8A2" w14:textId="17593C82" w:rsidR="00686A1D" w:rsidRPr="001045B7" w:rsidRDefault="00686A1D" w:rsidP="00686A1D">
            <w:pPr>
              <w:jc w:val="center"/>
              <w:rPr>
                <w:rFonts w:asciiTheme="minorHAnsi" w:hAnsiTheme="minorHAnsi" w:cstheme="minorHAnsi"/>
                <w:color w:val="000000"/>
                <w:sz w:val="17"/>
                <w:szCs w:val="17"/>
              </w:rPr>
            </w:pPr>
            <w:r w:rsidRPr="001045B7">
              <w:rPr>
                <w:rFonts w:asciiTheme="minorHAnsi" w:hAnsiTheme="minorHAnsi" w:cstheme="minorHAnsi"/>
                <w:sz w:val="17"/>
                <w:szCs w:val="17"/>
              </w:rPr>
              <w:t>708</w:t>
            </w:r>
          </w:p>
        </w:tc>
      </w:tr>
      <w:tr w:rsidR="00D34B59" w:rsidRPr="001045B7" w14:paraId="6AA9C323" w14:textId="77777777" w:rsidTr="00001825">
        <w:trPr>
          <w:trHeight w:val="85"/>
        </w:trPr>
        <w:tc>
          <w:tcPr>
            <w:tcW w:w="198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42457D5E" w14:textId="77777777" w:rsidR="00D34B59" w:rsidRPr="001045B7" w:rsidRDefault="00D34B59" w:rsidP="00D34B59">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hideMark/>
          </w:tcPr>
          <w:p w14:paraId="7EE74D38" w14:textId="5B97C6E2"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67,464,261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0A8A67E4" w14:textId="1DD0E786" w:rsidR="00D34B59" w:rsidRPr="001045B7" w:rsidRDefault="00D34B59" w:rsidP="00D34B59">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1,931,714,970 </w:t>
            </w: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7AC043C2" w14:textId="77777777" w:rsidR="00D34B59" w:rsidRPr="001045B7" w:rsidRDefault="00D34B59" w:rsidP="00D34B59">
            <w:pPr>
              <w:jc w:val="center"/>
              <w:rPr>
                <w:rFonts w:asciiTheme="minorHAnsi" w:hAnsiTheme="minorHAnsi" w:cstheme="minorHAnsi"/>
                <w:b/>
                <w:bCs/>
                <w:color w:val="FF0000"/>
                <w:sz w:val="17"/>
                <w:szCs w:val="17"/>
              </w:rPr>
            </w:pPr>
          </w:p>
        </w:tc>
        <w:tc>
          <w:tcPr>
            <w:tcW w:w="1559" w:type="dxa"/>
            <w:tcBorders>
              <w:top w:val="single" w:sz="4" w:space="0" w:color="auto"/>
              <w:left w:val="nil"/>
              <w:bottom w:val="single" w:sz="4" w:space="0" w:color="auto"/>
              <w:right w:val="nil"/>
            </w:tcBorders>
            <w:shd w:val="clear" w:color="auto" w:fill="BFBFBF" w:themeFill="background1" w:themeFillShade="BF"/>
            <w:noWrap/>
            <w:vAlign w:val="bottom"/>
            <w:hideMark/>
          </w:tcPr>
          <w:p w14:paraId="3CF45094" w14:textId="77777777" w:rsidR="00D34B59" w:rsidRPr="001045B7" w:rsidRDefault="00D34B59" w:rsidP="00D34B59">
            <w:pPr>
              <w:jc w:val="center"/>
              <w:rPr>
                <w:rFonts w:asciiTheme="minorHAnsi" w:hAnsiTheme="minorHAnsi" w:cstheme="minorHAnsi"/>
                <w:b/>
                <w:bCs/>
                <w:color w:val="FF0000"/>
                <w:sz w:val="17"/>
                <w:szCs w:val="17"/>
              </w:rPr>
            </w:pPr>
          </w:p>
        </w:tc>
        <w:tc>
          <w:tcPr>
            <w:tcW w:w="1620" w:type="dxa"/>
            <w:tcBorders>
              <w:top w:val="single" w:sz="4" w:space="0" w:color="auto"/>
              <w:left w:val="nil"/>
              <w:bottom w:val="single" w:sz="4" w:space="0" w:color="auto"/>
              <w:right w:val="nil"/>
            </w:tcBorders>
            <w:shd w:val="clear" w:color="auto" w:fill="BFBFBF" w:themeFill="background1" w:themeFillShade="BF"/>
            <w:noWrap/>
            <w:vAlign w:val="bottom"/>
            <w:hideMark/>
          </w:tcPr>
          <w:p w14:paraId="03C41536" w14:textId="77777777" w:rsidR="00D34B59" w:rsidRPr="001045B7" w:rsidRDefault="00D34B59" w:rsidP="00D34B59">
            <w:pPr>
              <w:jc w:val="center"/>
              <w:rPr>
                <w:rFonts w:asciiTheme="minorHAnsi" w:hAnsiTheme="minorHAnsi" w:cstheme="minorHAnsi"/>
                <w:b/>
                <w:bCs/>
                <w:color w:val="FF0000"/>
                <w:sz w:val="17"/>
                <w:szCs w:val="17"/>
              </w:rPr>
            </w:pPr>
          </w:p>
        </w:tc>
        <w:tc>
          <w:tcPr>
            <w:tcW w:w="1215" w:type="dxa"/>
            <w:tcBorders>
              <w:top w:val="single" w:sz="4" w:space="0" w:color="auto"/>
              <w:left w:val="nil"/>
              <w:bottom w:val="single" w:sz="4" w:space="0" w:color="auto"/>
              <w:right w:val="nil"/>
            </w:tcBorders>
            <w:shd w:val="clear" w:color="auto" w:fill="BFBFBF" w:themeFill="background1" w:themeFillShade="BF"/>
          </w:tcPr>
          <w:p w14:paraId="146E6B1F" w14:textId="77777777" w:rsidR="00D34B59" w:rsidRPr="001045B7" w:rsidRDefault="00D34B59" w:rsidP="00D34B59">
            <w:pPr>
              <w:jc w:val="center"/>
              <w:rPr>
                <w:rFonts w:asciiTheme="minorHAnsi" w:hAnsiTheme="minorHAnsi" w:cstheme="minorHAnsi"/>
                <w:b/>
                <w:bCs/>
                <w:color w:val="FF0000"/>
                <w:sz w:val="17"/>
                <w:szCs w:val="17"/>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B104812" w14:textId="77777777" w:rsidR="00D34B59" w:rsidRPr="001045B7" w:rsidRDefault="00D34B59" w:rsidP="00D34B59">
            <w:pPr>
              <w:jc w:val="center"/>
              <w:rPr>
                <w:rFonts w:asciiTheme="minorHAnsi" w:hAnsiTheme="minorHAnsi" w:cstheme="minorHAnsi"/>
                <w:b/>
                <w:bCs/>
                <w:color w:val="FF0000"/>
                <w:sz w:val="17"/>
                <w:szCs w:val="17"/>
              </w:rPr>
            </w:pPr>
          </w:p>
        </w:tc>
      </w:tr>
    </w:tbl>
    <w:p w14:paraId="0DB00570" w14:textId="77777777" w:rsidR="00001825" w:rsidRPr="001045B7" w:rsidRDefault="00001825" w:rsidP="00001825">
      <w:pPr>
        <w:spacing w:before="80" w:line="250" w:lineRule="exact"/>
        <w:ind w:left="709"/>
        <w:jc w:val="both"/>
        <w:rPr>
          <w:rFonts w:asciiTheme="minorHAnsi" w:eastAsia="Calibri" w:hAnsiTheme="minorHAnsi" w:cstheme="minorHAnsi"/>
          <w:spacing w:val="-1"/>
          <w:sz w:val="17"/>
          <w:szCs w:val="17"/>
        </w:rPr>
      </w:pPr>
    </w:p>
    <w:p w14:paraId="34CD467F" w14:textId="77777777" w:rsidR="00001825" w:rsidRPr="001045B7" w:rsidRDefault="00001825" w:rsidP="00001825">
      <w:pPr>
        <w:spacing w:before="80" w:line="250" w:lineRule="exact"/>
        <w:ind w:left="709"/>
        <w:jc w:val="both"/>
        <w:rPr>
          <w:rFonts w:asciiTheme="minorHAnsi" w:eastAsia="Calibri" w:hAnsiTheme="minorHAnsi" w:cstheme="minorHAnsi"/>
          <w:spacing w:val="-1"/>
          <w:sz w:val="17"/>
          <w:szCs w:val="17"/>
        </w:rPr>
      </w:pPr>
    </w:p>
    <w:p w14:paraId="42164171" w14:textId="77777777" w:rsidR="00001825" w:rsidRPr="001045B7" w:rsidRDefault="00001825" w:rsidP="00001825">
      <w:pPr>
        <w:spacing w:before="80" w:line="250" w:lineRule="exact"/>
        <w:ind w:left="709"/>
        <w:jc w:val="both"/>
        <w:rPr>
          <w:rFonts w:asciiTheme="minorHAnsi" w:eastAsia="Calibri" w:hAnsiTheme="minorHAnsi" w:cstheme="minorHAnsi"/>
          <w:spacing w:val="-1"/>
          <w:sz w:val="17"/>
          <w:szCs w:val="17"/>
        </w:rPr>
      </w:pPr>
    </w:p>
    <w:p w14:paraId="6AD95494" w14:textId="77777777" w:rsidR="00001825" w:rsidRPr="001045B7" w:rsidRDefault="00001825" w:rsidP="00001825">
      <w:pPr>
        <w:spacing w:before="80" w:line="250" w:lineRule="exact"/>
        <w:ind w:left="709"/>
        <w:jc w:val="both"/>
        <w:rPr>
          <w:rFonts w:asciiTheme="minorHAnsi" w:eastAsia="Calibri" w:hAnsiTheme="minorHAnsi" w:cstheme="minorHAnsi"/>
          <w:spacing w:val="-1"/>
          <w:sz w:val="17"/>
          <w:szCs w:val="17"/>
        </w:rPr>
      </w:pPr>
    </w:p>
    <w:p w14:paraId="2E8EAB60"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32515439"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7518DA15"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55734D7D"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4370A9F9"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54358F12" w14:textId="77777777" w:rsidR="00001825" w:rsidRPr="001045B7" w:rsidRDefault="00001825" w:rsidP="00001825">
      <w:pPr>
        <w:spacing w:before="80" w:line="250" w:lineRule="exact"/>
        <w:ind w:firstLine="708"/>
        <w:jc w:val="both"/>
        <w:rPr>
          <w:rFonts w:asciiTheme="minorHAnsi" w:eastAsia="Calibri" w:hAnsiTheme="minorHAnsi" w:cstheme="minorHAnsi"/>
          <w:spacing w:val="-1"/>
          <w:sz w:val="17"/>
          <w:szCs w:val="17"/>
        </w:rPr>
      </w:pPr>
    </w:p>
    <w:p w14:paraId="6C4B4A35" w14:textId="61FD3B18" w:rsidR="00001825" w:rsidRPr="001045B7" w:rsidRDefault="00001825" w:rsidP="00001825">
      <w:pPr>
        <w:pStyle w:val="Prrafodelista"/>
        <w:spacing w:line="276" w:lineRule="auto"/>
        <w:ind w:left="0"/>
        <w:jc w:val="both"/>
        <w:rPr>
          <w:rFonts w:asciiTheme="minorHAnsi" w:hAnsiTheme="minorHAnsi" w:cstheme="minorHAnsi"/>
          <w:sz w:val="17"/>
          <w:szCs w:val="17"/>
        </w:rPr>
      </w:pPr>
    </w:p>
    <w:p w14:paraId="2C34E9D6" w14:textId="77777777" w:rsidR="001C15D7" w:rsidRPr="001045B7" w:rsidRDefault="001C15D7" w:rsidP="00B21DA1">
      <w:pPr>
        <w:spacing w:line="276" w:lineRule="auto"/>
        <w:jc w:val="both"/>
        <w:rPr>
          <w:rFonts w:asciiTheme="minorHAnsi" w:hAnsiTheme="minorHAnsi" w:cstheme="minorHAnsi"/>
          <w:sz w:val="17"/>
          <w:szCs w:val="17"/>
        </w:rPr>
      </w:pPr>
    </w:p>
    <w:p w14:paraId="701B616C" w14:textId="0F14CE24" w:rsidR="00B21DA1" w:rsidRPr="001045B7" w:rsidRDefault="00001825" w:rsidP="00B21DA1">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La depreciación acumulada que se presenta en el estado de actividades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es de </w:t>
      </w:r>
      <w:r w:rsidR="00362C88" w:rsidRPr="001045B7">
        <w:rPr>
          <w:rFonts w:asciiTheme="minorHAnsi" w:hAnsiTheme="minorHAnsi" w:cstheme="minorHAnsi"/>
          <w:sz w:val="17"/>
          <w:szCs w:val="17"/>
        </w:rPr>
        <w:t>1</w:t>
      </w:r>
      <w:r w:rsidR="002918DD" w:rsidRPr="001045B7">
        <w:rPr>
          <w:rFonts w:asciiTheme="minorHAnsi" w:hAnsiTheme="minorHAnsi" w:cstheme="minorHAnsi"/>
          <w:sz w:val="17"/>
          <w:szCs w:val="17"/>
        </w:rPr>
        <w:t>63,549,597</w:t>
      </w:r>
      <w:r w:rsidR="00362C88" w:rsidRPr="001045B7">
        <w:rPr>
          <w:rFonts w:asciiTheme="minorHAnsi" w:hAnsiTheme="minorHAnsi" w:cstheme="minorHAnsi"/>
          <w:sz w:val="17"/>
          <w:szCs w:val="17"/>
        </w:rPr>
        <w:t xml:space="preserve"> </w:t>
      </w:r>
      <w:r w:rsidRPr="001045B7">
        <w:rPr>
          <w:rFonts w:asciiTheme="minorHAnsi" w:hAnsiTheme="minorHAnsi" w:cstheme="minorHAnsi"/>
          <w:sz w:val="17"/>
          <w:szCs w:val="17"/>
        </w:rPr>
        <w:t>(</w:t>
      </w:r>
      <w:r w:rsidR="00362C88" w:rsidRPr="001045B7">
        <w:rPr>
          <w:rFonts w:asciiTheme="minorHAnsi" w:hAnsiTheme="minorHAnsi" w:cstheme="minorHAnsi"/>
          <w:sz w:val="17"/>
          <w:szCs w:val="17"/>
        </w:rPr>
        <w:t xml:space="preserve">ciento </w:t>
      </w:r>
      <w:r w:rsidR="002918DD" w:rsidRPr="001045B7">
        <w:rPr>
          <w:rFonts w:asciiTheme="minorHAnsi" w:hAnsiTheme="minorHAnsi" w:cstheme="minorHAnsi"/>
          <w:sz w:val="17"/>
          <w:szCs w:val="17"/>
        </w:rPr>
        <w:t>sesenta y tres millones quinientos cuarenta y nueve mil quinientos noventa y siete)</w:t>
      </w:r>
      <w:r w:rsidR="00362C88" w:rsidRPr="001045B7">
        <w:rPr>
          <w:rFonts w:asciiTheme="minorHAnsi" w:hAnsiTheme="minorHAnsi" w:cstheme="minorHAnsi"/>
          <w:sz w:val="17"/>
          <w:szCs w:val="17"/>
        </w:rPr>
        <w:t>.</w:t>
      </w:r>
    </w:p>
    <w:p w14:paraId="302B9C86" w14:textId="77777777" w:rsidR="00362C88" w:rsidRPr="001045B7" w:rsidRDefault="00362C88" w:rsidP="00B21DA1">
      <w:pPr>
        <w:spacing w:line="276" w:lineRule="auto"/>
        <w:jc w:val="both"/>
        <w:rPr>
          <w:rFonts w:asciiTheme="minorHAnsi" w:hAnsiTheme="minorHAnsi" w:cstheme="minorHAnsi"/>
          <w:sz w:val="17"/>
          <w:szCs w:val="17"/>
        </w:rPr>
      </w:pPr>
    </w:p>
    <w:p w14:paraId="59804F3E" w14:textId="77777777" w:rsidR="008A5B89" w:rsidRPr="001045B7" w:rsidRDefault="008A5B89" w:rsidP="00001825">
      <w:pPr>
        <w:pStyle w:val="Prrafodelista"/>
        <w:spacing w:line="276" w:lineRule="auto"/>
        <w:ind w:left="0"/>
        <w:jc w:val="both"/>
        <w:rPr>
          <w:rFonts w:asciiTheme="minorHAnsi" w:hAnsiTheme="minorHAnsi" w:cstheme="minorHAnsi"/>
          <w:sz w:val="17"/>
          <w:szCs w:val="17"/>
        </w:rPr>
      </w:pPr>
    </w:p>
    <w:p w14:paraId="07504E70" w14:textId="5C0A02E6" w:rsidR="00001825"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En el rubro de Activos Intangibles, se informa de manera agrupada por cuenta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071E0E78" w14:textId="77777777" w:rsidR="001C15D7" w:rsidRPr="001045B7" w:rsidRDefault="001C15D7" w:rsidP="00001825">
      <w:pPr>
        <w:pStyle w:val="Prrafodelista"/>
        <w:spacing w:line="276" w:lineRule="auto"/>
        <w:ind w:left="0"/>
        <w:jc w:val="both"/>
        <w:rPr>
          <w:rFonts w:asciiTheme="minorHAnsi" w:hAnsiTheme="minorHAnsi" w:cstheme="minorHAnsi"/>
          <w:sz w:val="17"/>
          <w:szCs w:val="17"/>
        </w:rPr>
      </w:pPr>
    </w:p>
    <w:p w14:paraId="5877720E" w14:textId="77777777" w:rsidR="00001825" w:rsidRPr="001045B7" w:rsidRDefault="00001825" w:rsidP="00001825">
      <w:pPr>
        <w:jc w:val="center"/>
        <w:rPr>
          <w:rFonts w:asciiTheme="minorHAnsi" w:eastAsia="Calibri" w:hAnsiTheme="minorHAnsi" w:cstheme="minorHAnsi"/>
          <w:spacing w:val="-1"/>
          <w:sz w:val="17"/>
          <w:szCs w:val="17"/>
        </w:rPr>
      </w:pPr>
      <w:r w:rsidRPr="001045B7">
        <w:rPr>
          <w:rFonts w:asciiTheme="minorHAnsi" w:eastAsia="Calibri" w:hAnsiTheme="minorHAnsi" w:cstheme="minorHAnsi"/>
          <w:b/>
          <w:spacing w:val="-1"/>
          <w:sz w:val="17"/>
          <w:szCs w:val="17"/>
        </w:rPr>
        <w:t>(Pesos)</w:t>
      </w:r>
    </w:p>
    <w:tbl>
      <w:tblPr>
        <w:tblW w:w="6516" w:type="dxa"/>
        <w:tblInd w:w="3518" w:type="dxa"/>
        <w:tblCellMar>
          <w:left w:w="70" w:type="dxa"/>
          <w:right w:w="70" w:type="dxa"/>
        </w:tblCellMar>
        <w:tblLook w:val="04A0" w:firstRow="1" w:lastRow="0" w:firstColumn="1" w:lastColumn="0" w:noHBand="0" w:noVBand="1"/>
      </w:tblPr>
      <w:tblGrid>
        <w:gridCol w:w="2830"/>
        <w:gridCol w:w="1843"/>
        <w:gridCol w:w="1843"/>
      </w:tblGrid>
      <w:tr w:rsidR="00001825" w:rsidRPr="001045B7" w14:paraId="466DF0CD" w14:textId="77777777" w:rsidTr="00001825">
        <w:trPr>
          <w:trHeight w:val="261"/>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5F7366"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DB1AF8" w14:textId="05D9D9FB"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6934E" w14:textId="5C4470D2"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1E6EA4" w:rsidRPr="001045B7" w14:paraId="2F1B3198"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02BBBDAC"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Software</w:t>
            </w:r>
          </w:p>
        </w:tc>
        <w:tc>
          <w:tcPr>
            <w:tcW w:w="1843" w:type="dxa"/>
            <w:tcBorders>
              <w:top w:val="single" w:sz="4" w:space="0" w:color="auto"/>
              <w:left w:val="nil"/>
              <w:bottom w:val="single" w:sz="4" w:space="0" w:color="auto"/>
              <w:right w:val="single" w:sz="4" w:space="0" w:color="auto"/>
            </w:tcBorders>
            <w:shd w:val="clear" w:color="auto" w:fill="auto"/>
          </w:tcPr>
          <w:p w14:paraId="776810C0" w14:textId="0385120D"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51,707,254 </w:t>
            </w:r>
          </w:p>
        </w:tc>
        <w:tc>
          <w:tcPr>
            <w:tcW w:w="1843" w:type="dxa"/>
            <w:tcBorders>
              <w:top w:val="nil"/>
              <w:left w:val="single" w:sz="4" w:space="0" w:color="auto"/>
              <w:bottom w:val="single" w:sz="4" w:space="0" w:color="auto"/>
              <w:right w:val="single" w:sz="4" w:space="0" w:color="auto"/>
            </w:tcBorders>
            <w:shd w:val="clear" w:color="auto" w:fill="auto"/>
          </w:tcPr>
          <w:p w14:paraId="6E578877" w14:textId="0E7367D0"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52,481,642 </w:t>
            </w:r>
          </w:p>
        </w:tc>
      </w:tr>
      <w:tr w:rsidR="001E6EA4" w:rsidRPr="001045B7" w14:paraId="44B08338"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414A7181"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Patentes, Marcas y Derechos</w:t>
            </w:r>
          </w:p>
        </w:tc>
        <w:tc>
          <w:tcPr>
            <w:tcW w:w="1843" w:type="dxa"/>
            <w:tcBorders>
              <w:top w:val="single" w:sz="4" w:space="0" w:color="auto"/>
              <w:left w:val="nil"/>
              <w:bottom w:val="single" w:sz="4" w:space="0" w:color="auto"/>
              <w:right w:val="single" w:sz="4" w:space="0" w:color="auto"/>
            </w:tcBorders>
            <w:shd w:val="clear" w:color="auto" w:fill="auto"/>
          </w:tcPr>
          <w:p w14:paraId="5FF1412C" w14:textId="6046A43F"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117,646 </w:t>
            </w:r>
          </w:p>
        </w:tc>
        <w:tc>
          <w:tcPr>
            <w:tcW w:w="1843" w:type="dxa"/>
            <w:tcBorders>
              <w:top w:val="nil"/>
              <w:left w:val="single" w:sz="4" w:space="0" w:color="auto"/>
              <w:bottom w:val="single" w:sz="4" w:space="0" w:color="auto"/>
              <w:right w:val="single" w:sz="4" w:space="0" w:color="auto"/>
            </w:tcBorders>
            <w:shd w:val="clear" w:color="auto" w:fill="auto"/>
          </w:tcPr>
          <w:p w14:paraId="455E109F" w14:textId="5C24531A"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117,646 </w:t>
            </w:r>
          </w:p>
        </w:tc>
      </w:tr>
      <w:tr w:rsidR="001E6EA4" w:rsidRPr="001045B7" w14:paraId="1852E81A"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42A6E4EB"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Licencias</w:t>
            </w:r>
          </w:p>
        </w:tc>
        <w:tc>
          <w:tcPr>
            <w:tcW w:w="1843" w:type="dxa"/>
            <w:tcBorders>
              <w:top w:val="single" w:sz="4" w:space="0" w:color="auto"/>
              <w:left w:val="nil"/>
              <w:bottom w:val="single" w:sz="4" w:space="0" w:color="auto"/>
              <w:right w:val="single" w:sz="4" w:space="0" w:color="auto"/>
            </w:tcBorders>
            <w:shd w:val="clear" w:color="auto" w:fill="auto"/>
          </w:tcPr>
          <w:p w14:paraId="17A8E297" w14:textId="067DEBBA"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171,214,386 </w:t>
            </w:r>
          </w:p>
        </w:tc>
        <w:tc>
          <w:tcPr>
            <w:tcW w:w="1843" w:type="dxa"/>
            <w:tcBorders>
              <w:top w:val="nil"/>
              <w:left w:val="single" w:sz="4" w:space="0" w:color="auto"/>
              <w:bottom w:val="single" w:sz="4" w:space="0" w:color="auto"/>
              <w:right w:val="single" w:sz="4" w:space="0" w:color="auto"/>
            </w:tcBorders>
            <w:shd w:val="clear" w:color="auto" w:fill="auto"/>
          </w:tcPr>
          <w:p w14:paraId="45097ED1" w14:textId="613A1C34"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210,317,417 </w:t>
            </w:r>
          </w:p>
        </w:tc>
      </w:tr>
      <w:tr w:rsidR="001E6EA4" w:rsidRPr="001045B7" w14:paraId="7EC5051C"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3F9EEE8F"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Otros Activos Intangibles</w:t>
            </w:r>
          </w:p>
        </w:tc>
        <w:tc>
          <w:tcPr>
            <w:tcW w:w="1843" w:type="dxa"/>
            <w:tcBorders>
              <w:top w:val="single" w:sz="4" w:space="0" w:color="auto"/>
              <w:left w:val="nil"/>
              <w:bottom w:val="single" w:sz="4" w:space="0" w:color="auto"/>
              <w:right w:val="single" w:sz="4" w:space="0" w:color="auto"/>
            </w:tcBorders>
            <w:shd w:val="clear" w:color="auto" w:fill="auto"/>
          </w:tcPr>
          <w:p w14:paraId="4F32B7DE" w14:textId="27967634"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67C4AA45" w14:textId="35FC14B6"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1E6EA4" w:rsidRPr="001045B7" w14:paraId="26CCCEAA" w14:textId="77777777" w:rsidTr="00001825">
        <w:trPr>
          <w:trHeight w:val="240"/>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20086" w14:textId="77777777" w:rsidR="001E6EA4" w:rsidRPr="001045B7" w:rsidRDefault="001E6EA4" w:rsidP="001E6EA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B1089" w14:textId="54905C63" w:rsidR="001E6EA4" w:rsidRPr="001045B7" w:rsidRDefault="001E6EA4" w:rsidP="001E6EA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223,039,285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63B46" w14:textId="2C870A5F" w:rsidR="001E6EA4" w:rsidRPr="001045B7" w:rsidRDefault="001E6EA4" w:rsidP="001E6EA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262,916,705 </w:t>
            </w:r>
          </w:p>
        </w:tc>
      </w:tr>
    </w:tbl>
    <w:p w14:paraId="3A48143C" w14:textId="77777777" w:rsidR="00001825" w:rsidRPr="001045B7" w:rsidRDefault="00001825" w:rsidP="00001825">
      <w:pPr>
        <w:spacing w:line="276" w:lineRule="auto"/>
        <w:jc w:val="both"/>
        <w:rPr>
          <w:rFonts w:asciiTheme="minorHAnsi" w:hAnsiTheme="minorHAnsi" w:cstheme="minorHAnsi"/>
          <w:b/>
          <w:sz w:val="17"/>
          <w:szCs w:val="17"/>
        </w:rPr>
      </w:pPr>
    </w:p>
    <w:p w14:paraId="4C7C6A62" w14:textId="77777777" w:rsidR="001C15D7" w:rsidRPr="001045B7" w:rsidRDefault="001C15D7" w:rsidP="00001825">
      <w:pPr>
        <w:pStyle w:val="Prrafodelista"/>
        <w:spacing w:line="276" w:lineRule="auto"/>
        <w:ind w:left="0"/>
        <w:jc w:val="both"/>
        <w:rPr>
          <w:rFonts w:asciiTheme="minorHAnsi" w:hAnsiTheme="minorHAnsi" w:cstheme="minorHAnsi"/>
          <w:sz w:val="17"/>
          <w:szCs w:val="17"/>
        </w:rPr>
      </w:pPr>
    </w:p>
    <w:p w14:paraId="05357CA2" w14:textId="0AE69F5D" w:rsidR="00F82EBB" w:rsidRPr="001045B7" w:rsidRDefault="008A5B89"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El decremento representa el 1</w:t>
      </w:r>
      <w:r w:rsidR="009733E7" w:rsidRPr="001045B7">
        <w:rPr>
          <w:rFonts w:asciiTheme="minorHAnsi" w:hAnsiTheme="minorHAnsi" w:cstheme="minorHAnsi"/>
          <w:sz w:val="17"/>
          <w:szCs w:val="17"/>
        </w:rPr>
        <w:t>5</w:t>
      </w:r>
      <w:r w:rsidRPr="001045B7">
        <w:rPr>
          <w:rFonts w:asciiTheme="minorHAnsi" w:hAnsiTheme="minorHAnsi" w:cstheme="minorHAnsi"/>
          <w:sz w:val="17"/>
          <w:szCs w:val="17"/>
        </w:rPr>
        <w:t>% (</w:t>
      </w:r>
      <w:r w:rsidR="009733E7" w:rsidRPr="001045B7">
        <w:rPr>
          <w:rFonts w:asciiTheme="minorHAnsi" w:hAnsiTheme="minorHAnsi" w:cstheme="minorHAnsi"/>
          <w:sz w:val="17"/>
          <w:szCs w:val="17"/>
        </w:rPr>
        <w:t>quince</w:t>
      </w:r>
      <w:r w:rsidRPr="001045B7">
        <w:rPr>
          <w:rFonts w:asciiTheme="minorHAnsi" w:hAnsiTheme="minorHAnsi" w:cstheme="minorHAnsi"/>
          <w:sz w:val="17"/>
          <w:szCs w:val="17"/>
        </w:rPr>
        <w:t xml:space="preserve"> por ciento) en el saldo en el rubro Activos Intangibles, corresponde a la baja de licencias informáticas e intelectuales.</w:t>
      </w:r>
    </w:p>
    <w:p w14:paraId="41365CF1" w14:textId="77777777" w:rsidR="008A5B89" w:rsidRPr="001045B7" w:rsidRDefault="008A5B89" w:rsidP="00001825">
      <w:pPr>
        <w:pStyle w:val="Prrafodelista"/>
        <w:spacing w:line="276" w:lineRule="auto"/>
        <w:ind w:left="0"/>
        <w:jc w:val="both"/>
        <w:rPr>
          <w:rFonts w:asciiTheme="minorHAnsi" w:hAnsiTheme="minorHAnsi" w:cstheme="minorHAnsi"/>
          <w:sz w:val="17"/>
          <w:szCs w:val="17"/>
        </w:rPr>
      </w:pPr>
    </w:p>
    <w:p w14:paraId="3E20A141" w14:textId="77777777" w:rsidR="001C15D7" w:rsidRPr="001045B7" w:rsidRDefault="001C15D7" w:rsidP="00001825">
      <w:pPr>
        <w:pStyle w:val="Prrafodelista"/>
        <w:spacing w:line="276" w:lineRule="auto"/>
        <w:ind w:left="0"/>
        <w:jc w:val="both"/>
        <w:rPr>
          <w:rFonts w:asciiTheme="minorHAnsi" w:hAnsiTheme="minorHAnsi" w:cstheme="minorHAnsi"/>
          <w:sz w:val="17"/>
          <w:szCs w:val="17"/>
        </w:rPr>
      </w:pPr>
    </w:p>
    <w:p w14:paraId="4AB13261" w14:textId="77777777" w:rsidR="001C15D7" w:rsidRPr="001045B7" w:rsidRDefault="001C15D7" w:rsidP="00001825">
      <w:pPr>
        <w:pStyle w:val="Prrafodelista"/>
        <w:spacing w:line="276" w:lineRule="auto"/>
        <w:ind w:left="0"/>
        <w:jc w:val="both"/>
        <w:rPr>
          <w:rFonts w:asciiTheme="minorHAnsi" w:hAnsiTheme="minorHAnsi" w:cstheme="minorHAnsi"/>
          <w:sz w:val="17"/>
          <w:szCs w:val="17"/>
        </w:rPr>
      </w:pPr>
    </w:p>
    <w:p w14:paraId="2DF0416F" w14:textId="04D7179A" w:rsidR="00001825"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lastRenderedPageBreak/>
        <w:t xml:space="preserve">En el rubro de activos intangibles, se muestra la amortización acumulada del ejercicio, tasa y método aplicados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78170E81" w14:textId="77777777" w:rsidR="00001825" w:rsidRPr="001045B7" w:rsidRDefault="00001825" w:rsidP="00001825">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3821" w:type="pct"/>
        <w:jc w:val="center"/>
        <w:tblCellMar>
          <w:left w:w="70" w:type="dxa"/>
          <w:right w:w="70" w:type="dxa"/>
        </w:tblCellMar>
        <w:tblLook w:val="04A0" w:firstRow="1" w:lastRow="0" w:firstColumn="1" w:lastColumn="0" w:noHBand="0" w:noVBand="1"/>
      </w:tblPr>
      <w:tblGrid>
        <w:gridCol w:w="3398"/>
        <w:gridCol w:w="1838"/>
        <w:gridCol w:w="1611"/>
        <w:gridCol w:w="1611"/>
        <w:gridCol w:w="1609"/>
      </w:tblGrid>
      <w:tr w:rsidR="00001825" w:rsidRPr="001045B7" w14:paraId="04BD8FB0" w14:textId="77777777" w:rsidTr="00057A01">
        <w:trPr>
          <w:trHeight w:val="474"/>
          <w:jc w:val="center"/>
        </w:trPr>
        <w:tc>
          <w:tcPr>
            <w:tcW w:w="16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946F6A"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 de activos intangibles</w:t>
            </w:r>
          </w:p>
        </w:tc>
        <w:tc>
          <w:tcPr>
            <w:tcW w:w="9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82F56D"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Amortización acumulada del ejercicio</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0E07C1"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Amortización acumulada</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4C3095"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Tasa aplicada</w:t>
            </w:r>
          </w:p>
        </w:tc>
        <w:tc>
          <w:tcPr>
            <w:tcW w:w="79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F0AA2F"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Método aplicado</w:t>
            </w:r>
          </w:p>
        </w:tc>
      </w:tr>
      <w:tr w:rsidR="001E6EA4" w:rsidRPr="001045B7" w14:paraId="61B4156B" w14:textId="77777777" w:rsidTr="00057A01">
        <w:trPr>
          <w:trHeight w:val="240"/>
          <w:jc w:val="center"/>
        </w:trPr>
        <w:tc>
          <w:tcPr>
            <w:tcW w:w="1688" w:type="pct"/>
            <w:tcBorders>
              <w:top w:val="nil"/>
              <w:left w:val="single" w:sz="4" w:space="0" w:color="auto"/>
              <w:bottom w:val="single" w:sz="4" w:space="0" w:color="auto"/>
              <w:right w:val="single" w:sz="4" w:space="0" w:color="auto"/>
            </w:tcBorders>
            <w:shd w:val="clear" w:color="auto" w:fill="auto"/>
            <w:vAlign w:val="center"/>
            <w:hideMark/>
          </w:tcPr>
          <w:p w14:paraId="773E18C5" w14:textId="77777777" w:rsidR="001E6EA4" w:rsidRPr="001045B7" w:rsidRDefault="001E6EA4" w:rsidP="001E6EA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Software</w:t>
            </w:r>
          </w:p>
        </w:tc>
        <w:tc>
          <w:tcPr>
            <w:tcW w:w="913" w:type="pct"/>
            <w:tcBorders>
              <w:top w:val="nil"/>
              <w:left w:val="nil"/>
              <w:bottom w:val="single" w:sz="4" w:space="0" w:color="auto"/>
              <w:right w:val="single" w:sz="4" w:space="0" w:color="auto"/>
            </w:tcBorders>
            <w:shd w:val="clear" w:color="auto" w:fill="auto"/>
          </w:tcPr>
          <w:p w14:paraId="2449227F" w14:textId="34EB0280"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817,755 </w:t>
            </w:r>
          </w:p>
        </w:tc>
        <w:tc>
          <w:tcPr>
            <w:tcW w:w="800" w:type="pct"/>
            <w:tcBorders>
              <w:top w:val="nil"/>
              <w:left w:val="nil"/>
              <w:bottom w:val="single" w:sz="4" w:space="0" w:color="auto"/>
              <w:right w:val="single" w:sz="4" w:space="0" w:color="auto"/>
            </w:tcBorders>
            <w:shd w:val="clear" w:color="auto" w:fill="auto"/>
          </w:tcPr>
          <w:p w14:paraId="24BD2F64" w14:textId="6ACF6600"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51,001,164 </w:t>
            </w:r>
          </w:p>
        </w:tc>
        <w:tc>
          <w:tcPr>
            <w:tcW w:w="800" w:type="pct"/>
            <w:tcBorders>
              <w:top w:val="nil"/>
              <w:left w:val="nil"/>
              <w:bottom w:val="single" w:sz="4" w:space="0" w:color="auto"/>
              <w:right w:val="single" w:sz="4" w:space="0" w:color="auto"/>
            </w:tcBorders>
            <w:shd w:val="clear" w:color="auto" w:fill="auto"/>
            <w:hideMark/>
          </w:tcPr>
          <w:p w14:paraId="08CFCD39"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25% anual</w:t>
            </w:r>
          </w:p>
        </w:tc>
        <w:tc>
          <w:tcPr>
            <w:tcW w:w="799" w:type="pct"/>
            <w:tcBorders>
              <w:top w:val="nil"/>
              <w:left w:val="nil"/>
              <w:bottom w:val="single" w:sz="4" w:space="0" w:color="auto"/>
              <w:right w:val="single" w:sz="4" w:space="0" w:color="auto"/>
            </w:tcBorders>
            <w:shd w:val="clear" w:color="auto" w:fill="auto"/>
            <w:hideMark/>
          </w:tcPr>
          <w:p w14:paraId="2700B889"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Lineal</w:t>
            </w:r>
          </w:p>
        </w:tc>
      </w:tr>
      <w:tr w:rsidR="001E6EA4" w:rsidRPr="001045B7" w14:paraId="2B20DDE1" w14:textId="77777777" w:rsidTr="00057A01">
        <w:trPr>
          <w:trHeight w:val="240"/>
          <w:jc w:val="center"/>
        </w:trPr>
        <w:tc>
          <w:tcPr>
            <w:tcW w:w="1688" w:type="pct"/>
            <w:tcBorders>
              <w:top w:val="nil"/>
              <w:left w:val="single" w:sz="4" w:space="0" w:color="auto"/>
              <w:bottom w:val="single" w:sz="4" w:space="0" w:color="auto"/>
              <w:right w:val="single" w:sz="4" w:space="0" w:color="auto"/>
            </w:tcBorders>
            <w:shd w:val="clear" w:color="auto" w:fill="auto"/>
            <w:vAlign w:val="center"/>
            <w:hideMark/>
          </w:tcPr>
          <w:p w14:paraId="54A685CF" w14:textId="77777777" w:rsidR="001E6EA4" w:rsidRPr="001045B7" w:rsidRDefault="001E6EA4" w:rsidP="001E6EA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Patentes, marcas y derechos</w:t>
            </w:r>
          </w:p>
        </w:tc>
        <w:tc>
          <w:tcPr>
            <w:tcW w:w="913" w:type="pct"/>
            <w:tcBorders>
              <w:top w:val="nil"/>
              <w:left w:val="nil"/>
              <w:bottom w:val="single" w:sz="4" w:space="0" w:color="auto"/>
              <w:right w:val="single" w:sz="4" w:space="0" w:color="auto"/>
            </w:tcBorders>
            <w:shd w:val="clear" w:color="auto" w:fill="auto"/>
          </w:tcPr>
          <w:p w14:paraId="13682B2C" w14:textId="6DF080E1"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3,706 </w:t>
            </w:r>
          </w:p>
        </w:tc>
        <w:tc>
          <w:tcPr>
            <w:tcW w:w="800" w:type="pct"/>
            <w:tcBorders>
              <w:top w:val="nil"/>
              <w:left w:val="nil"/>
              <w:bottom w:val="single" w:sz="4" w:space="0" w:color="auto"/>
              <w:right w:val="single" w:sz="4" w:space="0" w:color="auto"/>
            </w:tcBorders>
            <w:shd w:val="clear" w:color="auto" w:fill="auto"/>
          </w:tcPr>
          <w:p w14:paraId="1E4CE9B7" w14:textId="48F01E29"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115,345 </w:t>
            </w:r>
          </w:p>
        </w:tc>
        <w:tc>
          <w:tcPr>
            <w:tcW w:w="800" w:type="pct"/>
            <w:tcBorders>
              <w:top w:val="nil"/>
              <w:left w:val="nil"/>
              <w:bottom w:val="single" w:sz="4" w:space="0" w:color="auto"/>
              <w:right w:val="single" w:sz="4" w:space="0" w:color="auto"/>
            </w:tcBorders>
            <w:shd w:val="clear" w:color="auto" w:fill="auto"/>
            <w:hideMark/>
          </w:tcPr>
          <w:p w14:paraId="07AEC3D6"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10% anual</w:t>
            </w:r>
          </w:p>
        </w:tc>
        <w:tc>
          <w:tcPr>
            <w:tcW w:w="799" w:type="pct"/>
            <w:tcBorders>
              <w:top w:val="nil"/>
              <w:left w:val="nil"/>
              <w:bottom w:val="single" w:sz="4" w:space="0" w:color="auto"/>
              <w:right w:val="single" w:sz="4" w:space="0" w:color="auto"/>
            </w:tcBorders>
            <w:shd w:val="clear" w:color="auto" w:fill="auto"/>
            <w:hideMark/>
          </w:tcPr>
          <w:p w14:paraId="569B9E9D"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Lineal</w:t>
            </w:r>
          </w:p>
        </w:tc>
      </w:tr>
      <w:tr w:rsidR="001E6EA4" w:rsidRPr="001045B7" w14:paraId="6FDEE389" w14:textId="77777777" w:rsidTr="00057A01">
        <w:trPr>
          <w:trHeight w:val="240"/>
          <w:jc w:val="center"/>
        </w:trPr>
        <w:tc>
          <w:tcPr>
            <w:tcW w:w="1688" w:type="pct"/>
            <w:tcBorders>
              <w:top w:val="nil"/>
              <w:left w:val="single" w:sz="4" w:space="0" w:color="auto"/>
              <w:bottom w:val="single" w:sz="4" w:space="0" w:color="auto"/>
              <w:right w:val="single" w:sz="4" w:space="0" w:color="auto"/>
            </w:tcBorders>
            <w:shd w:val="clear" w:color="auto" w:fill="auto"/>
            <w:vAlign w:val="center"/>
            <w:hideMark/>
          </w:tcPr>
          <w:p w14:paraId="26ECC958" w14:textId="77777777" w:rsidR="001E6EA4" w:rsidRPr="001045B7" w:rsidRDefault="001E6EA4" w:rsidP="001E6EA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Licencias</w:t>
            </w:r>
          </w:p>
        </w:tc>
        <w:tc>
          <w:tcPr>
            <w:tcW w:w="913" w:type="pct"/>
            <w:tcBorders>
              <w:top w:val="nil"/>
              <w:left w:val="nil"/>
              <w:bottom w:val="single" w:sz="4" w:space="0" w:color="auto"/>
              <w:right w:val="single" w:sz="4" w:space="0" w:color="auto"/>
            </w:tcBorders>
            <w:shd w:val="clear" w:color="auto" w:fill="auto"/>
          </w:tcPr>
          <w:p w14:paraId="64F50F2E" w14:textId="36CBA604"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17,493,560 </w:t>
            </w:r>
          </w:p>
        </w:tc>
        <w:tc>
          <w:tcPr>
            <w:tcW w:w="800" w:type="pct"/>
            <w:tcBorders>
              <w:top w:val="nil"/>
              <w:left w:val="nil"/>
              <w:bottom w:val="single" w:sz="4" w:space="0" w:color="auto"/>
              <w:right w:val="single" w:sz="4" w:space="0" w:color="auto"/>
            </w:tcBorders>
            <w:shd w:val="clear" w:color="auto" w:fill="auto"/>
          </w:tcPr>
          <w:p w14:paraId="28544C3A" w14:textId="7A1F6D2B" w:rsidR="001E6EA4" w:rsidRPr="001045B7" w:rsidRDefault="001E6EA4" w:rsidP="001E6EA4">
            <w:pPr>
              <w:jc w:val="right"/>
              <w:rPr>
                <w:rFonts w:asciiTheme="minorHAnsi" w:hAnsiTheme="minorHAnsi" w:cstheme="minorHAnsi"/>
                <w:sz w:val="17"/>
                <w:szCs w:val="17"/>
              </w:rPr>
            </w:pPr>
            <w:r w:rsidRPr="001045B7">
              <w:rPr>
                <w:rFonts w:asciiTheme="minorHAnsi" w:hAnsiTheme="minorHAnsi" w:cstheme="minorHAnsi"/>
                <w:sz w:val="17"/>
                <w:szCs w:val="17"/>
              </w:rPr>
              <w:t xml:space="preserve"> 89,941,854 </w:t>
            </w:r>
          </w:p>
        </w:tc>
        <w:tc>
          <w:tcPr>
            <w:tcW w:w="800" w:type="pct"/>
            <w:tcBorders>
              <w:top w:val="nil"/>
              <w:left w:val="nil"/>
              <w:bottom w:val="single" w:sz="4" w:space="0" w:color="auto"/>
              <w:right w:val="single" w:sz="4" w:space="0" w:color="auto"/>
            </w:tcBorders>
            <w:shd w:val="clear" w:color="auto" w:fill="auto"/>
            <w:hideMark/>
          </w:tcPr>
          <w:p w14:paraId="44FD11DB"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20% anual</w:t>
            </w:r>
          </w:p>
        </w:tc>
        <w:tc>
          <w:tcPr>
            <w:tcW w:w="799" w:type="pct"/>
            <w:tcBorders>
              <w:top w:val="nil"/>
              <w:left w:val="nil"/>
              <w:bottom w:val="single" w:sz="4" w:space="0" w:color="auto"/>
              <w:right w:val="single" w:sz="4" w:space="0" w:color="auto"/>
            </w:tcBorders>
            <w:shd w:val="clear" w:color="auto" w:fill="auto"/>
            <w:hideMark/>
          </w:tcPr>
          <w:p w14:paraId="3BA2CEA8" w14:textId="77777777" w:rsidR="001E6EA4" w:rsidRPr="001045B7" w:rsidRDefault="001E6EA4" w:rsidP="001E6EA4">
            <w:pPr>
              <w:rPr>
                <w:rFonts w:asciiTheme="minorHAnsi" w:hAnsiTheme="minorHAnsi" w:cstheme="minorHAnsi"/>
                <w:sz w:val="17"/>
                <w:szCs w:val="17"/>
              </w:rPr>
            </w:pPr>
            <w:r w:rsidRPr="001045B7">
              <w:rPr>
                <w:rFonts w:asciiTheme="minorHAnsi" w:hAnsiTheme="minorHAnsi" w:cstheme="minorHAnsi"/>
                <w:sz w:val="17"/>
                <w:szCs w:val="17"/>
              </w:rPr>
              <w:t>Lineal</w:t>
            </w:r>
          </w:p>
        </w:tc>
      </w:tr>
      <w:tr w:rsidR="001E6EA4" w:rsidRPr="001045B7" w14:paraId="70BE6F23" w14:textId="77777777" w:rsidTr="00057A01">
        <w:trPr>
          <w:trHeight w:val="240"/>
          <w:jc w:val="center"/>
        </w:trPr>
        <w:tc>
          <w:tcPr>
            <w:tcW w:w="16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CBFD2C" w14:textId="77777777" w:rsidR="001E6EA4" w:rsidRPr="001045B7" w:rsidRDefault="001E6EA4" w:rsidP="001E6EA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9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BC6B4F" w14:textId="3B144A66" w:rsidR="001E6EA4" w:rsidRPr="001045B7" w:rsidRDefault="001E6EA4" w:rsidP="001E6EA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-18,307,609 </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D85DF" w14:textId="364E27FE" w:rsidR="001E6EA4" w:rsidRPr="001045B7" w:rsidRDefault="001E6EA4" w:rsidP="001E6EA4">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141,058,363 </w:t>
            </w:r>
          </w:p>
        </w:tc>
        <w:tc>
          <w:tcPr>
            <w:tcW w:w="800"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4FB5A37D" w14:textId="77777777" w:rsidR="001E6EA4" w:rsidRPr="001045B7" w:rsidRDefault="001E6EA4" w:rsidP="001E6EA4">
            <w:pPr>
              <w:rPr>
                <w:rFonts w:asciiTheme="minorHAnsi" w:hAnsiTheme="minorHAnsi" w:cstheme="minorHAnsi"/>
                <w:b/>
                <w:bCs/>
                <w:color w:val="FF0000"/>
                <w:sz w:val="17"/>
                <w:szCs w:val="17"/>
              </w:rPr>
            </w:pPr>
            <w:r w:rsidRPr="001045B7">
              <w:rPr>
                <w:rFonts w:asciiTheme="minorHAnsi" w:hAnsiTheme="minorHAnsi" w:cstheme="minorHAnsi"/>
                <w:b/>
                <w:bCs/>
                <w:color w:val="FF0000"/>
                <w:sz w:val="17"/>
                <w:szCs w:val="17"/>
              </w:rPr>
              <w:t> </w:t>
            </w:r>
          </w:p>
        </w:tc>
        <w:tc>
          <w:tcPr>
            <w:tcW w:w="799"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064DC655" w14:textId="77777777" w:rsidR="001E6EA4" w:rsidRPr="001045B7" w:rsidRDefault="001E6EA4" w:rsidP="001E6EA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r>
    </w:tbl>
    <w:p w14:paraId="07478851" w14:textId="77777777" w:rsidR="002D6B82" w:rsidRPr="001045B7" w:rsidRDefault="002D6B82" w:rsidP="00001825">
      <w:pPr>
        <w:spacing w:line="276" w:lineRule="auto"/>
        <w:jc w:val="both"/>
        <w:rPr>
          <w:rFonts w:asciiTheme="minorHAnsi" w:hAnsiTheme="minorHAnsi" w:cstheme="minorHAnsi"/>
          <w:b/>
          <w:bCs/>
          <w:sz w:val="17"/>
          <w:szCs w:val="17"/>
        </w:rPr>
      </w:pPr>
    </w:p>
    <w:p w14:paraId="1A5870B0" w14:textId="26646779" w:rsidR="00001825" w:rsidRPr="001045B7" w:rsidRDefault="00001825" w:rsidP="00001825">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La amortización acumulada que se presenta en el estado de actividades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es de </w:t>
      </w:r>
      <w:r w:rsidR="00362C88" w:rsidRPr="001045B7">
        <w:rPr>
          <w:rFonts w:asciiTheme="minorHAnsi" w:hAnsiTheme="minorHAnsi" w:cstheme="minorHAnsi"/>
          <w:sz w:val="17"/>
          <w:szCs w:val="17"/>
        </w:rPr>
        <w:t>3,</w:t>
      </w:r>
      <w:r w:rsidR="00AF26E1" w:rsidRPr="001045B7">
        <w:rPr>
          <w:rFonts w:asciiTheme="minorHAnsi" w:hAnsiTheme="minorHAnsi" w:cstheme="minorHAnsi"/>
          <w:sz w:val="17"/>
          <w:szCs w:val="17"/>
        </w:rPr>
        <w:t>706</w:t>
      </w:r>
      <w:r w:rsidR="00362C88" w:rsidRPr="001045B7">
        <w:rPr>
          <w:rFonts w:asciiTheme="minorHAnsi" w:hAnsiTheme="minorHAnsi" w:cstheme="minorHAnsi"/>
          <w:sz w:val="17"/>
          <w:szCs w:val="17"/>
        </w:rPr>
        <w:t xml:space="preserve"> (tres mil </w:t>
      </w:r>
      <w:r w:rsidR="00AF26E1" w:rsidRPr="001045B7">
        <w:rPr>
          <w:rFonts w:asciiTheme="minorHAnsi" w:hAnsiTheme="minorHAnsi" w:cstheme="minorHAnsi"/>
          <w:sz w:val="17"/>
          <w:szCs w:val="17"/>
        </w:rPr>
        <w:t>setecientos seis</w:t>
      </w:r>
      <w:r w:rsidR="00362C88" w:rsidRPr="001045B7">
        <w:rPr>
          <w:rFonts w:asciiTheme="minorHAnsi" w:hAnsiTheme="minorHAnsi" w:cstheme="minorHAnsi"/>
          <w:sz w:val="17"/>
          <w:szCs w:val="17"/>
        </w:rPr>
        <w:t>).</w:t>
      </w:r>
    </w:p>
    <w:p w14:paraId="4DE7D95E" w14:textId="77777777" w:rsidR="00001825" w:rsidRPr="001045B7" w:rsidRDefault="00001825" w:rsidP="00001825">
      <w:pPr>
        <w:pStyle w:val="Prrafodelista"/>
        <w:spacing w:line="276" w:lineRule="auto"/>
        <w:jc w:val="both"/>
        <w:rPr>
          <w:rFonts w:asciiTheme="minorHAnsi" w:hAnsiTheme="minorHAnsi" w:cstheme="minorHAnsi"/>
          <w:sz w:val="17"/>
          <w:szCs w:val="17"/>
        </w:rPr>
      </w:pPr>
    </w:p>
    <w:p w14:paraId="3D7705B1" w14:textId="77777777" w:rsidR="001C15D7"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que el saldo de la cuenta Deterioro Acumulado de Activos Biológicos al </w:t>
      </w:r>
      <w:r w:rsidR="00480687" w:rsidRPr="001045B7">
        <w:rPr>
          <w:rFonts w:asciiTheme="minorHAnsi" w:hAnsiTheme="minorHAnsi" w:cstheme="minorHAnsi"/>
          <w:sz w:val="17"/>
          <w:szCs w:val="17"/>
        </w:rPr>
        <w:t>31 (treinta y uno)</w:t>
      </w:r>
      <w:r w:rsidR="00B4448E" w:rsidRPr="001045B7">
        <w:rPr>
          <w:rFonts w:asciiTheme="minorHAnsi" w:hAnsiTheme="minorHAnsi" w:cstheme="minorHAnsi"/>
          <w:sz w:val="17"/>
          <w:szCs w:val="17"/>
        </w:rPr>
        <w:t xml:space="preserve"> de</w:t>
      </w:r>
      <w:r w:rsidR="00567890" w:rsidRPr="001045B7">
        <w:rPr>
          <w:rFonts w:asciiTheme="minorHAnsi" w:hAnsiTheme="minorHAnsi" w:cstheme="minorHAnsi"/>
          <w:sz w:val="17"/>
          <w:szCs w:val="17"/>
        </w:rPr>
        <w:t xml:space="preserv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xml:space="preserve"> es de </w:t>
      </w:r>
      <w:r w:rsidR="006D388A" w:rsidRPr="001045B7">
        <w:rPr>
          <w:rFonts w:asciiTheme="minorHAnsi" w:hAnsiTheme="minorHAnsi" w:cstheme="minorHAnsi"/>
          <w:sz w:val="17"/>
          <w:szCs w:val="17"/>
        </w:rPr>
        <w:t>612,</w:t>
      </w:r>
      <w:r w:rsidR="00760772" w:rsidRPr="001045B7">
        <w:rPr>
          <w:rFonts w:asciiTheme="minorHAnsi" w:hAnsiTheme="minorHAnsi" w:cstheme="minorHAnsi"/>
          <w:sz w:val="17"/>
          <w:szCs w:val="17"/>
        </w:rPr>
        <w:t>500</w:t>
      </w:r>
      <w:r w:rsidR="00B21DA1" w:rsidRPr="001045B7">
        <w:rPr>
          <w:rFonts w:asciiTheme="minorHAnsi" w:hAnsiTheme="minorHAnsi" w:cstheme="minorHAnsi"/>
          <w:sz w:val="17"/>
          <w:szCs w:val="17"/>
        </w:rPr>
        <w:t xml:space="preserve"> </w:t>
      </w:r>
      <w:r w:rsidRPr="001045B7">
        <w:rPr>
          <w:rFonts w:asciiTheme="minorHAnsi" w:hAnsiTheme="minorHAnsi" w:cstheme="minorHAnsi"/>
          <w:sz w:val="17"/>
          <w:szCs w:val="17"/>
        </w:rPr>
        <w:t>(</w:t>
      </w:r>
      <w:r w:rsidR="006D388A" w:rsidRPr="001045B7">
        <w:rPr>
          <w:rFonts w:asciiTheme="minorHAnsi" w:hAnsiTheme="minorHAnsi" w:cstheme="minorHAnsi"/>
          <w:sz w:val="17"/>
          <w:szCs w:val="17"/>
        </w:rPr>
        <w:t>seiscientos doce mil</w:t>
      </w:r>
      <w:r w:rsidR="00760772" w:rsidRPr="001045B7">
        <w:rPr>
          <w:rFonts w:asciiTheme="minorHAnsi" w:hAnsiTheme="minorHAnsi" w:cstheme="minorHAnsi"/>
          <w:sz w:val="17"/>
          <w:szCs w:val="17"/>
        </w:rPr>
        <w:t xml:space="preserve"> quinientos</w:t>
      </w:r>
      <w:r w:rsidR="00B21DA1" w:rsidRPr="001045B7">
        <w:rPr>
          <w:rFonts w:asciiTheme="minorHAnsi" w:hAnsiTheme="minorHAnsi" w:cstheme="minorHAnsi"/>
          <w:sz w:val="17"/>
          <w:szCs w:val="17"/>
        </w:rPr>
        <w:t>)</w:t>
      </w:r>
      <w:r w:rsidRPr="001045B7">
        <w:rPr>
          <w:rFonts w:asciiTheme="minorHAnsi" w:hAnsiTheme="minorHAnsi" w:cstheme="minorHAnsi"/>
          <w:sz w:val="17"/>
          <w:szCs w:val="17"/>
        </w:rPr>
        <w:t xml:space="preserve">.     </w:t>
      </w:r>
    </w:p>
    <w:p w14:paraId="44B34FAA" w14:textId="271DCE10" w:rsidR="00001825"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                  </w:t>
      </w:r>
      <w:r w:rsidR="006D388A" w:rsidRPr="001045B7">
        <w:rPr>
          <w:rFonts w:asciiTheme="minorHAnsi" w:hAnsiTheme="minorHAnsi" w:cstheme="minorHAnsi"/>
          <w:sz w:val="17"/>
          <w:szCs w:val="17"/>
        </w:rPr>
        <w:t xml:space="preserve">                               </w:t>
      </w:r>
    </w:p>
    <w:p w14:paraId="3C29BC3D" w14:textId="77777777" w:rsidR="006D388A" w:rsidRPr="001045B7" w:rsidRDefault="006D388A" w:rsidP="00001825">
      <w:pPr>
        <w:pStyle w:val="Prrafodelista"/>
        <w:spacing w:line="276" w:lineRule="auto"/>
        <w:ind w:left="0"/>
        <w:jc w:val="both"/>
        <w:rPr>
          <w:rFonts w:asciiTheme="minorHAnsi" w:hAnsiTheme="minorHAnsi" w:cstheme="minorHAnsi"/>
          <w:sz w:val="17"/>
          <w:szCs w:val="17"/>
        </w:rPr>
      </w:pPr>
    </w:p>
    <w:p w14:paraId="01B80DD4" w14:textId="4199051E" w:rsidR="001325A4" w:rsidRPr="001045B7" w:rsidRDefault="001325A4"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Estimaciones y Deterioros</w:t>
      </w:r>
    </w:p>
    <w:p w14:paraId="2666276B" w14:textId="0F9353C4" w:rsidR="00001825" w:rsidRPr="001045B7" w:rsidRDefault="00001825" w:rsidP="00860054">
      <w:pPr>
        <w:pStyle w:val="Prrafodelista"/>
        <w:spacing w:line="276" w:lineRule="auto"/>
        <w:ind w:left="1416"/>
        <w:jc w:val="both"/>
        <w:rPr>
          <w:rFonts w:asciiTheme="minorHAnsi" w:hAnsiTheme="minorHAnsi" w:cstheme="minorHAnsi"/>
          <w:sz w:val="17"/>
          <w:szCs w:val="17"/>
        </w:rPr>
      </w:pPr>
    </w:p>
    <w:p w14:paraId="22013350" w14:textId="1A2234E4" w:rsidR="00001825"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que, al cierre del mes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el saldo del rubro Estimación por Pérdida o Deterioro de Activos no Circulantes es de 0 (cero).</w:t>
      </w:r>
    </w:p>
    <w:p w14:paraId="2D53BD49" w14:textId="77777777" w:rsidR="001C15D7" w:rsidRPr="001045B7" w:rsidRDefault="001C15D7" w:rsidP="00001825">
      <w:pPr>
        <w:pStyle w:val="Prrafodelista"/>
        <w:spacing w:line="276" w:lineRule="auto"/>
        <w:ind w:left="0"/>
        <w:jc w:val="both"/>
        <w:rPr>
          <w:rFonts w:asciiTheme="minorHAnsi" w:hAnsiTheme="minorHAnsi" w:cstheme="minorHAnsi"/>
          <w:sz w:val="17"/>
          <w:szCs w:val="17"/>
        </w:rPr>
      </w:pPr>
    </w:p>
    <w:p w14:paraId="5D0193B6" w14:textId="77777777" w:rsidR="00001825" w:rsidRPr="001045B7" w:rsidRDefault="00001825" w:rsidP="00001825">
      <w:pPr>
        <w:pStyle w:val="Prrafodelista"/>
        <w:spacing w:line="276" w:lineRule="auto"/>
        <w:ind w:left="0"/>
        <w:jc w:val="both"/>
        <w:rPr>
          <w:rFonts w:asciiTheme="minorHAnsi" w:hAnsiTheme="minorHAnsi" w:cstheme="minorHAnsi"/>
          <w:b/>
          <w:sz w:val="17"/>
          <w:szCs w:val="17"/>
        </w:rPr>
      </w:pPr>
    </w:p>
    <w:p w14:paraId="55415482" w14:textId="757CFF6C"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Otros Activos</w:t>
      </w:r>
    </w:p>
    <w:p w14:paraId="5DE1D7E9" w14:textId="7F946DFC" w:rsidR="00001825" w:rsidRPr="001045B7" w:rsidRDefault="00001825" w:rsidP="00860054">
      <w:pPr>
        <w:pStyle w:val="Prrafodelista"/>
        <w:spacing w:line="276" w:lineRule="auto"/>
        <w:ind w:left="1416"/>
        <w:jc w:val="both"/>
        <w:rPr>
          <w:rFonts w:asciiTheme="minorHAnsi" w:hAnsiTheme="minorHAnsi" w:cstheme="minorHAnsi"/>
          <w:b/>
          <w:sz w:val="17"/>
          <w:szCs w:val="17"/>
        </w:rPr>
      </w:pPr>
    </w:p>
    <w:p w14:paraId="53326713" w14:textId="5CB6B13C" w:rsidR="003444DD" w:rsidRPr="001045B7" w:rsidRDefault="00001825" w:rsidP="000018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Otros Activos no Circulantes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 reflejan un saldo de:</w:t>
      </w:r>
    </w:p>
    <w:p w14:paraId="5316A0FB" w14:textId="77777777" w:rsidR="00001825" w:rsidRPr="001045B7" w:rsidRDefault="00001825" w:rsidP="00001825">
      <w:pPr>
        <w:autoSpaceDE w:val="0"/>
        <w:autoSpaceDN w:val="0"/>
        <w:adjustRightInd w:val="0"/>
        <w:spacing w:before="240"/>
        <w:ind w:left="36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5807" w:type="dxa"/>
        <w:jc w:val="center"/>
        <w:tblCellMar>
          <w:left w:w="70" w:type="dxa"/>
          <w:right w:w="70" w:type="dxa"/>
        </w:tblCellMar>
        <w:tblLook w:val="04A0" w:firstRow="1" w:lastRow="0" w:firstColumn="1" w:lastColumn="0" w:noHBand="0" w:noVBand="1"/>
      </w:tblPr>
      <w:tblGrid>
        <w:gridCol w:w="2686"/>
        <w:gridCol w:w="1516"/>
        <w:gridCol w:w="1605"/>
      </w:tblGrid>
      <w:tr w:rsidR="00001825" w:rsidRPr="001045B7" w14:paraId="73513BE5" w14:textId="77777777" w:rsidTr="00001825">
        <w:trPr>
          <w:trHeight w:val="281"/>
          <w:jc w:val="center"/>
        </w:trPr>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A9BE5" w14:textId="77777777" w:rsidR="00001825" w:rsidRPr="001045B7" w:rsidRDefault="00001825"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51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AB6A72" w14:textId="475C9A4A"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1F717B" w14:textId="1913A306" w:rsidR="00001825" w:rsidRPr="001045B7" w:rsidRDefault="008E7DE6" w:rsidP="00001825">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4B207E" w:rsidRPr="001045B7" w14:paraId="280452E7" w14:textId="77777777" w:rsidTr="00001825">
        <w:trPr>
          <w:trHeight w:val="244"/>
          <w:jc w:val="center"/>
        </w:trPr>
        <w:tc>
          <w:tcPr>
            <w:tcW w:w="2686" w:type="dxa"/>
            <w:tcBorders>
              <w:top w:val="nil"/>
              <w:left w:val="single" w:sz="4" w:space="0" w:color="auto"/>
              <w:bottom w:val="single" w:sz="4" w:space="0" w:color="auto"/>
              <w:right w:val="single" w:sz="4" w:space="0" w:color="auto"/>
            </w:tcBorders>
            <w:shd w:val="clear" w:color="auto" w:fill="auto"/>
          </w:tcPr>
          <w:p w14:paraId="0E73B396"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Bienes Inmuebles en Comodato</w:t>
            </w:r>
          </w:p>
        </w:tc>
        <w:tc>
          <w:tcPr>
            <w:tcW w:w="1516" w:type="dxa"/>
            <w:tcBorders>
              <w:top w:val="single" w:sz="4" w:space="0" w:color="auto"/>
              <w:left w:val="nil"/>
              <w:bottom w:val="single" w:sz="4" w:space="0" w:color="auto"/>
              <w:right w:val="single" w:sz="4" w:space="0" w:color="auto"/>
            </w:tcBorders>
            <w:shd w:val="clear" w:color="auto" w:fill="auto"/>
          </w:tcPr>
          <w:p w14:paraId="07BD2A7B" w14:textId="687C099B"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32,962,716,800 </w:t>
            </w:r>
          </w:p>
        </w:tc>
        <w:tc>
          <w:tcPr>
            <w:tcW w:w="1605" w:type="dxa"/>
            <w:tcBorders>
              <w:top w:val="nil"/>
              <w:left w:val="single" w:sz="4" w:space="0" w:color="auto"/>
              <w:bottom w:val="single" w:sz="4" w:space="0" w:color="auto"/>
              <w:right w:val="single" w:sz="4" w:space="0" w:color="auto"/>
            </w:tcBorders>
            <w:shd w:val="clear" w:color="auto" w:fill="auto"/>
          </w:tcPr>
          <w:p w14:paraId="7F1371DE" w14:textId="25E2F055"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29,591,012,123 </w:t>
            </w:r>
          </w:p>
        </w:tc>
      </w:tr>
    </w:tbl>
    <w:p w14:paraId="14A0AAD0" w14:textId="77777777" w:rsidR="00AB3F3C" w:rsidRPr="001045B7" w:rsidRDefault="00AB3F3C" w:rsidP="00B21DA1">
      <w:pPr>
        <w:pStyle w:val="Prrafodelista"/>
        <w:spacing w:line="276" w:lineRule="auto"/>
        <w:ind w:left="0"/>
        <w:jc w:val="both"/>
        <w:rPr>
          <w:rFonts w:asciiTheme="minorHAnsi" w:hAnsiTheme="minorHAnsi" w:cstheme="minorHAnsi"/>
          <w:sz w:val="17"/>
          <w:szCs w:val="17"/>
        </w:rPr>
      </w:pPr>
    </w:p>
    <w:p w14:paraId="1BB42C58" w14:textId="7B0DA03A" w:rsidR="009D41C0" w:rsidRPr="001045B7" w:rsidRDefault="00E54B87" w:rsidP="00640E90">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El incremento en el concepto de Bienes Inmuebles en comodato se debe principalmente a la actualización de valor de por un importe de 1,684,100,938 (</w:t>
      </w:r>
      <w:r w:rsidR="006108B7" w:rsidRPr="001045B7">
        <w:rPr>
          <w:rFonts w:asciiTheme="minorHAnsi" w:hAnsiTheme="minorHAnsi" w:cstheme="minorHAnsi"/>
          <w:sz w:val="17"/>
          <w:szCs w:val="17"/>
        </w:rPr>
        <w:t>mil seiscientos ochenta y cuatro millones cien mil novecientos treinta y ocho)</w:t>
      </w:r>
      <w:r w:rsidR="009D41C0" w:rsidRPr="001045B7">
        <w:rPr>
          <w:rFonts w:asciiTheme="minorHAnsi" w:hAnsiTheme="minorHAnsi" w:cstheme="minorHAnsi"/>
          <w:sz w:val="17"/>
          <w:szCs w:val="17"/>
        </w:rPr>
        <w:t>.</w:t>
      </w:r>
    </w:p>
    <w:p w14:paraId="3319D86C" w14:textId="009164AD" w:rsidR="002F6AAB" w:rsidRPr="001045B7" w:rsidRDefault="002F6AAB" w:rsidP="00640E90">
      <w:pPr>
        <w:pStyle w:val="Prrafodelista"/>
        <w:spacing w:line="276" w:lineRule="auto"/>
        <w:ind w:left="0"/>
        <w:jc w:val="both"/>
        <w:rPr>
          <w:rFonts w:asciiTheme="minorHAnsi" w:hAnsiTheme="minorHAnsi" w:cstheme="minorHAnsi"/>
          <w:sz w:val="17"/>
          <w:szCs w:val="17"/>
        </w:rPr>
      </w:pPr>
    </w:p>
    <w:p w14:paraId="64CFFB71" w14:textId="19EDF98B"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598B001E" w14:textId="449068B2"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730D60C8" w14:textId="6346DCFA"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30985AA2" w14:textId="5FD9BD56"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3F4166D5" w14:textId="4B12C402"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29F65745" w14:textId="6A7EC409"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1C338289" w14:textId="77777777" w:rsidR="001C15D7" w:rsidRPr="001045B7" w:rsidRDefault="001C15D7" w:rsidP="00640E90">
      <w:pPr>
        <w:pStyle w:val="Prrafodelista"/>
        <w:spacing w:line="276" w:lineRule="auto"/>
        <w:ind w:left="0"/>
        <w:jc w:val="both"/>
        <w:rPr>
          <w:rFonts w:asciiTheme="minorHAnsi" w:hAnsiTheme="minorHAnsi" w:cstheme="minorHAnsi"/>
          <w:sz w:val="17"/>
          <w:szCs w:val="17"/>
        </w:rPr>
      </w:pPr>
    </w:p>
    <w:p w14:paraId="59F109BC" w14:textId="6FF817C1" w:rsidR="00AE4AE6" w:rsidRPr="001045B7" w:rsidRDefault="00AE4AE6" w:rsidP="00860054">
      <w:pPr>
        <w:pStyle w:val="Prrafodelista"/>
        <w:spacing w:line="276" w:lineRule="auto"/>
        <w:ind w:left="708"/>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Pasivo</w:t>
      </w:r>
      <w:r w:rsidR="00001825" w:rsidRPr="001045B7">
        <w:rPr>
          <w:rStyle w:val="Refdenotaalpie"/>
          <w:rFonts w:asciiTheme="minorHAnsi" w:hAnsiTheme="minorHAnsi" w:cstheme="minorHAnsi"/>
          <w:b/>
          <w:sz w:val="17"/>
          <w:szCs w:val="17"/>
        </w:rPr>
        <w:footnoteReference w:id="1"/>
      </w:r>
    </w:p>
    <w:p w14:paraId="3A44FCF5" w14:textId="3F160D6F" w:rsidR="00AE4AE6" w:rsidRPr="001045B7" w:rsidRDefault="00AE4AE6" w:rsidP="00860054">
      <w:pPr>
        <w:pStyle w:val="Prrafodelista"/>
        <w:spacing w:line="276" w:lineRule="auto"/>
        <w:ind w:left="708"/>
        <w:jc w:val="both"/>
        <w:rPr>
          <w:rFonts w:asciiTheme="minorHAnsi" w:hAnsiTheme="minorHAnsi" w:cstheme="minorHAnsi"/>
          <w:sz w:val="17"/>
          <w:szCs w:val="17"/>
        </w:rPr>
      </w:pPr>
    </w:p>
    <w:p w14:paraId="4C0E2F3E" w14:textId="58CBAE65"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Cuentas y Documentos por pagar</w:t>
      </w:r>
    </w:p>
    <w:p w14:paraId="18EE47D0" w14:textId="068C1AC7" w:rsidR="008A0DA2" w:rsidRPr="001045B7" w:rsidRDefault="008A0DA2" w:rsidP="00860054">
      <w:pPr>
        <w:pStyle w:val="Prrafodelista"/>
        <w:spacing w:line="276" w:lineRule="auto"/>
        <w:ind w:left="1416"/>
        <w:jc w:val="both"/>
        <w:rPr>
          <w:rFonts w:asciiTheme="minorHAnsi" w:hAnsiTheme="minorHAnsi" w:cstheme="minorHAnsi"/>
          <w:sz w:val="17"/>
          <w:szCs w:val="17"/>
        </w:rPr>
      </w:pPr>
    </w:p>
    <w:p w14:paraId="000F20BD" w14:textId="6B449113" w:rsidR="008A0DA2" w:rsidRPr="001045B7" w:rsidRDefault="008A0DA2" w:rsidP="008A0DA2">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por cuenta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 </w:t>
      </w:r>
      <w:r w:rsidRPr="001045B7">
        <w:rPr>
          <w:rFonts w:asciiTheme="minorHAnsi" w:hAnsiTheme="minorHAnsi" w:cstheme="minorHAnsi"/>
          <w:sz w:val="17"/>
          <w:szCs w:val="17"/>
        </w:rPr>
        <w:t>del rubro de Cuentas por Pagar a Corto Plazo:</w:t>
      </w:r>
    </w:p>
    <w:p w14:paraId="60DA1B66" w14:textId="77777777" w:rsidR="008A0DA2" w:rsidRPr="001045B7" w:rsidRDefault="008A0DA2" w:rsidP="008A0DA2">
      <w:pPr>
        <w:autoSpaceDE w:val="0"/>
        <w:autoSpaceDN w:val="0"/>
        <w:adjustRightInd w:val="0"/>
        <w:spacing w:before="240"/>
        <w:ind w:left="851"/>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8788" w:type="dxa"/>
        <w:jc w:val="center"/>
        <w:tblCellMar>
          <w:left w:w="70" w:type="dxa"/>
          <w:right w:w="70" w:type="dxa"/>
        </w:tblCellMar>
        <w:tblLook w:val="04A0" w:firstRow="1" w:lastRow="0" w:firstColumn="1" w:lastColumn="0" w:noHBand="0" w:noVBand="1"/>
      </w:tblPr>
      <w:tblGrid>
        <w:gridCol w:w="4961"/>
        <w:gridCol w:w="1984"/>
        <w:gridCol w:w="1843"/>
      </w:tblGrid>
      <w:tr w:rsidR="008A0DA2" w:rsidRPr="001045B7" w14:paraId="3769976F" w14:textId="77777777" w:rsidTr="001174F8">
        <w:trPr>
          <w:trHeight w:val="119"/>
          <w:jc w:val="center"/>
        </w:trPr>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59FBA3" w14:textId="77777777" w:rsidR="008A0DA2" w:rsidRPr="001045B7" w:rsidRDefault="008A0DA2"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175F0D" w14:textId="007DCDC3"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A65075" w14:textId="3FBF9804"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4B207E" w:rsidRPr="001045B7" w14:paraId="590520AC"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8E34BC6"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Servicios Personales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72DECB96" w14:textId="625BF0E3"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83,419 </w:t>
            </w:r>
          </w:p>
        </w:tc>
        <w:tc>
          <w:tcPr>
            <w:tcW w:w="1843" w:type="dxa"/>
            <w:tcBorders>
              <w:top w:val="nil"/>
              <w:left w:val="single" w:sz="4" w:space="0" w:color="auto"/>
              <w:bottom w:val="single" w:sz="4" w:space="0" w:color="auto"/>
              <w:right w:val="single" w:sz="4" w:space="0" w:color="auto"/>
            </w:tcBorders>
            <w:shd w:val="clear" w:color="auto" w:fill="auto"/>
          </w:tcPr>
          <w:p w14:paraId="68351F78" w14:textId="1E804953"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60CE74E8"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34C35DC5"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Proveedores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5F12F00" w14:textId="4F4D6C31"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69,072,564 </w:t>
            </w:r>
          </w:p>
        </w:tc>
        <w:tc>
          <w:tcPr>
            <w:tcW w:w="1843" w:type="dxa"/>
            <w:tcBorders>
              <w:top w:val="nil"/>
              <w:left w:val="single" w:sz="4" w:space="0" w:color="auto"/>
              <w:bottom w:val="single" w:sz="4" w:space="0" w:color="auto"/>
              <w:right w:val="single" w:sz="4" w:space="0" w:color="auto"/>
            </w:tcBorders>
            <w:shd w:val="clear" w:color="auto" w:fill="auto"/>
          </w:tcPr>
          <w:p w14:paraId="50A4E412" w14:textId="738024A4"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13,439,778 </w:t>
            </w:r>
          </w:p>
        </w:tc>
      </w:tr>
      <w:tr w:rsidR="004B207E" w:rsidRPr="001045B7" w14:paraId="64DBB673"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185BBE5B" w14:textId="416D87EB"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Contratistas por Obras Públicas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12A27484" w14:textId="30358807"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7D5C9C0E" w14:textId="54A80F33"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1E6167DE"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B67D779"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Participaciones y Aportaciones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09C22C14" w14:textId="377B5E01"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17 </w:t>
            </w:r>
          </w:p>
        </w:tc>
        <w:tc>
          <w:tcPr>
            <w:tcW w:w="1843" w:type="dxa"/>
            <w:tcBorders>
              <w:top w:val="nil"/>
              <w:left w:val="single" w:sz="4" w:space="0" w:color="auto"/>
              <w:bottom w:val="single" w:sz="4" w:space="0" w:color="auto"/>
              <w:right w:val="single" w:sz="4" w:space="0" w:color="auto"/>
            </w:tcBorders>
            <w:shd w:val="clear" w:color="auto" w:fill="auto"/>
          </w:tcPr>
          <w:p w14:paraId="7921BD20" w14:textId="20DA240B"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1D1AD22C"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44139C49" w14:textId="325E29F5"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Transferencias Otorgadas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3F5F7443" w14:textId="4542E2AC"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4BFBFCB7" w14:textId="12A0E673"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423251CE"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73029959" w14:textId="617C6B4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Intereses, Comisiones y Otros Gastos de la Deuda Pública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5C1DF8C" w14:textId="6D339A05"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39A9CD36" w14:textId="34E7C565"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144D116C"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19DA7137" w14:textId="77777777" w:rsidR="004B207E" w:rsidRPr="001045B7" w:rsidRDefault="004B207E" w:rsidP="004B207E">
            <w:pPr>
              <w:tabs>
                <w:tab w:val="left" w:pos="1554"/>
              </w:tabs>
              <w:rPr>
                <w:rFonts w:asciiTheme="minorHAnsi" w:hAnsiTheme="minorHAnsi" w:cstheme="minorHAnsi"/>
                <w:sz w:val="17"/>
                <w:szCs w:val="17"/>
              </w:rPr>
            </w:pPr>
            <w:r w:rsidRPr="001045B7">
              <w:rPr>
                <w:rFonts w:asciiTheme="minorHAnsi" w:hAnsiTheme="minorHAnsi" w:cstheme="minorHAnsi"/>
                <w:sz w:val="17"/>
                <w:szCs w:val="17"/>
              </w:rPr>
              <w:t>Retenciones y Contribuciones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6C35FBFB" w14:textId="394D180D"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168,680,690 </w:t>
            </w:r>
          </w:p>
        </w:tc>
        <w:tc>
          <w:tcPr>
            <w:tcW w:w="1843" w:type="dxa"/>
            <w:tcBorders>
              <w:top w:val="nil"/>
              <w:left w:val="single" w:sz="4" w:space="0" w:color="auto"/>
              <w:bottom w:val="single" w:sz="4" w:space="0" w:color="auto"/>
              <w:right w:val="single" w:sz="4" w:space="0" w:color="auto"/>
            </w:tcBorders>
            <w:shd w:val="clear" w:color="auto" w:fill="auto"/>
          </w:tcPr>
          <w:p w14:paraId="6E10C471" w14:textId="6F3BBA50"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158,672,140 </w:t>
            </w:r>
          </w:p>
        </w:tc>
      </w:tr>
      <w:tr w:rsidR="004B207E" w:rsidRPr="001045B7" w14:paraId="36E15426"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BA22523"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Devoluciones de la Ley de Ingresos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677A5CD" w14:textId="5C09FFCB"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77208D80" w14:textId="50998199"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4B207E" w:rsidRPr="001045B7" w14:paraId="1436317E" w14:textId="77777777" w:rsidTr="001174F8">
        <w:trPr>
          <w:trHeight w:val="240"/>
          <w:jc w:val="center"/>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7D65F7F7"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Otras Cuentas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BE6A77B" w14:textId="225575D0"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1,416,713 </w:t>
            </w:r>
          </w:p>
        </w:tc>
        <w:tc>
          <w:tcPr>
            <w:tcW w:w="1843" w:type="dxa"/>
            <w:tcBorders>
              <w:top w:val="nil"/>
              <w:left w:val="single" w:sz="4" w:space="0" w:color="auto"/>
              <w:bottom w:val="single" w:sz="4" w:space="0" w:color="auto"/>
              <w:right w:val="single" w:sz="4" w:space="0" w:color="auto"/>
            </w:tcBorders>
            <w:shd w:val="clear" w:color="auto" w:fill="auto"/>
          </w:tcPr>
          <w:p w14:paraId="6AB3F11F" w14:textId="58D3A04A"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125,188 </w:t>
            </w:r>
          </w:p>
        </w:tc>
      </w:tr>
      <w:tr w:rsidR="004B207E" w:rsidRPr="001045B7" w14:paraId="4B16730E" w14:textId="77777777" w:rsidTr="001174F8">
        <w:trPr>
          <w:trHeight w:val="240"/>
          <w:jc w:val="center"/>
        </w:trPr>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57295" w14:textId="77777777" w:rsidR="004B207E" w:rsidRPr="001045B7" w:rsidRDefault="004B207E" w:rsidP="004B207E">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D9A6BB" w14:textId="5D58A8A4" w:rsidR="004B207E" w:rsidRPr="001045B7" w:rsidRDefault="004B207E" w:rsidP="004B207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239,253,402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E1D4B" w14:textId="215E43CE" w:rsidR="004B207E" w:rsidRPr="001045B7" w:rsidRDefault="004B207E" w:rsidP="004B207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172,237,105 </w:t>
            </w:r>
          </w:p>
        </w:tc>
      </w:tr>
    </w:tbl>
    <w:p w14:paraId="0F692DEE" w14:textId="77777777" w:rsidR="00B21DA1" w:rsidRPr="001045B7" w:rsidRDefault="00B21DA1" w:rsidP="00B21DA1">
      <w:pPr>
        <w:spacing w:line="276" w:lineRule="auto"/>
        <w:jc w:val="both"/>
        <w:rPr>
          <w:rFonts w:asciiTheme="minorHAnsi" w:hAnsiTheme="minorHAnsi" w:cstheme="minorHAnsi"/>
          <w:sz w:val="17"/>
          <w:szCs w:val="17"/>
        </w:rPr>
      </w:pPr>
    </w:p>
    <w:p w14:paraId="05C1C7C1" w14:textId="3619B283" w:rsidR="008A0DA2" w:rsidRPr="001045B7" w:rsidRDefault="008A0DA2" w:rsidP="00B21DA1">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incremento de la cuenta Retenciones y Contribuciones por Pagar a Corto Plazo corresponde</w:t>
      </w:r>
      <w:r w:rsidR="002711D1" w:rsidRPr="001045B7">
        <w:rPr>
          <w:rFonts w:asciiTheme="minorHAnsi" w:hAnsiTheme="minorHAnsi" w:cstheme="minorHAnsi"/>
          <w:sz w:val="17"/>
          <w:szCs w:val="17"/>
        </w:rPr>
        <w:t xml:space="preserve"> principalmente</w:t>
      </w:r>
      <w:r w:rsidRPr="001045B7">
        <w:rPr>
          <w:rFonts w:asciiTheme="minorHAnsi" w:hAnsiTheme="minorHAnsi" w:cstheme="minorHAnsi"/>
          <w:sz w:val="17"/>
          <w:szCs w:val="17"/>
        </w:rPr>
        <w:t xml:space="preserve"> a las cuentas de </w:t>
      </w:r>
      <w:r w:rsidR="00C8025A" w:rsidRPr="001045B7">
        <w:rPr>
          <w:rFonts w:asciiTheme="minorHAnsi" w:hAnsiTheme="minorHAnsi" w:cstheme="minorHAnsi"/>
          <w:sz w:val="17"/>
          <w:szCs w:val="17"/>
        </w:rPr>
        <w:t xml:space="preserve">ISR Sueldos y salarios y a </w:t>
      </w:r>
      <w:r w:rsidRPr="001045B7">
        <w:rPr>
          <w:rFonts w:asciiTheme="minorHAnsi" w:hAnsiTheme="minorHAnsi" w:cstheme="minorHAnsi"/>
          <w:sz w:val="17"/>
          <w:szCs w:val="17"/>
        </w:rPr>
        <w:t>IMSS Cuota Patronal Mensual y Bimestral.</w:t>
      </w:r>
    </w:p>
    <w:p w14:paraId="6BA317BA" w14:textId="77777777" w:rsidR="002D6B82" w:rsidRPr="001045B7" w:rsidRDefault="002D6B82" w:rsidP="00860054">
      <w:pPr>
        <w:pStyle w:val="Prrafodelista"/>
        <w:spacing w:line="276" w:lineRule="auto"/>
        <w:ind w:left="1416"/>
        <w:jc w:val="both"/>
        <w:rPr>
          <w:rFonts w:asciiTheme="minorHAnsi" w:hAnsiTheme="minorHAnsi" w:cstheme="minorHAnsi"/>
          <w:b/>
          <w:sz w:val="17"/>
          <w:szCs w:val="17"/>
        </w:rPr>
      </w:pPr>
    </w:p>
    <w:p w14:paraId="6AA819C5" w14:textId="77777777" w:rsidR="00AB3F3C" w:rsidRPr="001045B7" w:rsidRDefault="00AB3F3C" w:rsidP="00860054">
      <w:pPr>
        <w:pStyle w:val="Prrafodelista"/>
        <w:spacing w:line="276" w:lineRule="auto"/>
        <w:ind w:left="1416"/>
        <w:jc w:val="both"/>
        <w:rPr>
          <w:rFonts w:asciiTheme="minorHAnsi" w:hAnsiTheme="minorHAnsi" w:cstheme="minorHAnsi"/>
          <w:b/>
          <w:sz w:val="17"/>
          <w:szCs w:val="17"/>
        </w:rPr>
      </w:pPr>
    </w:p>
    <w:p w14:paraId="2E805C48" w14:textId="08B6DF7B"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Fondos y Bienes de Terceros en Garantía y/o Administración</w:t>
      </w:r>
    </w:p>
    <w:p w14:paraId="1BD7CA5D" w14:textId="485E9159" w:rsidR="008A0DA2" w:rsidRPr="001045B7" w:rsidRDefault="008A0DA2" w:rsidP="00860054">
      <w:pPr>
        <w:pStyle w:val="Prrafodelista"/>
        <w:spacing w:line="276" w:lineRule="auto"/>
        <w:ind w:left="1416"/>
        <w:jc w:val="both"/>
        <w:rPr>
          <w:rFonts w:asciiTheme="minorHAnsi" w:hAnsiTheme="minorHAnsi" w:cstheme="minorHAnsi"/>
          <w:sz w:val="17"/>
          <w:szCs w:val="17"/>
        </w:rPr>
      </w:pPr>
    </w:p>
    <w:p w14:paraId="0D243D2E" w14:textId="4DF4ADB2" w:rsidR="008A0DA2" w:rsidRPr="001045B7" w:rsidRDefault="008A0DA2" w:rsidP="008A0DA2">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el monto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 </w:t>
      </w:r>
      <w:r w:rsidRPr="001045B7">
        <w:rPr>
          <w:rFonts w:asciiTheme="minorHAnsi" w:hAnsiTheme="minorHAnsi" w:cstheme="minorHAnsi"/>
          <w:sz w:val="17"/>
          <w:szCs w:val="17"/>
        </w:rPr>
        <w:t>de los recursos localizados en fondos y bienes de terceros en garantía y/o administración a corto plazo:</w:t>
      </w:r>
    </w:p>
    <w:p w14:paraId="05515B79" w14:textId="77777777" w:rsidR="008A0DA2" w:rsidRPr="001045B7" w:rsidRDefault="008A0DA2" w:rsidP="008A0DA2">
      <w:pPr>
        <w:autoSpaceDE w:val="0"/>
        <w:autoSpaceDN w:val="0"/>
        <w:adjustRightInd w:val="0"/>
        <w:spacing w:before="240"/>
        <w:ind w:left="36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11818" w:type="dxa"/>
        <w:jc w:val="center"/>
        <w:tblCellMar>
          <w:left w:w="70" w:type="dxa"/>
          <w:right w:w="70" w:type="dxa"/>
        </w:tblCellMar>
        <w:tblLook w:val="04A0" w:firstRow="1" w:lastRow="0" w:firstColumn="1" w:lastColumn="0" w:noHBand="0" w:noVBand="1"/>
      </w:tblPr>
      <w:tblGrid>
        <w:gridCol w:w="5665"/>
        <w:gridCol w:w="1276"/>
        <w:gridCol w:w="1203"/>
        <w:gridCol w:w="3674"/>
      </w:tblGrid>
      <w:tr w:rsidR="008A0DA2" w:rsidRPr="001045B7" w14:paraId="6A7E68B9" w14:textId="77777777" w:rsidTr="001174F8">
        <w:trPr>
          <w:trHeight w:val="163"/>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2ED3A7" w14:textId="77777777" w:rsidR="008A0DA2" w:rsidRPr="001045B7" w:rsidRDefault="008A0DA2"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87A64F8" w14:textId="0DA70EA8"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803384" w14:textId="551B0048"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c>
          <w:tcPr>
            <w:tcW w:w="3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903AA" w14:textId="77777777" w:rsidR="008A0DA2" w:rsidRPr="001045B7" w:rsidRDefault="008A0DA2">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Naturaleza</w:t>
            </w:r>
          </w:p>
        </w:tc>
      </w:tr>
      <w:tr w:rsidR="004B207E" w:rsidRPr="001045B7" w14:paraId="05AE77FE" w14:textId="77777777" w:rsidTr="001174F8">
        <w:trPr>
          <w:trHeight w:val="207"/>
          <w:jc w:val="center"/>
        </w:trPr>
        <w:tc>
          <w:tcPr>
            <w:tcW w:w="5665" w:type="dxa"/>
            <w:tcBorders>
              <w:top w:val="nil"/>
              <w:left w:val="single" w:sz="4" w:space="0" w:color="auto"/>
              <w:bottom w:val="single" w:sz="4" w:space="0" w:color="auto"/>
              <w:right w:val="single" w:sz="4" w:space="0" w:color="auto"/>
            </w:tcBorders>
            <w:shd w:val="clear" w:color="auto" w:fill="auto"/>
          </w:tcPr>
          <w:p w14:paraId="0E84647E"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Fondos en Garantía a Corto Plazo</w:t>
            </w:r>
          </w:p>
        </w:tc>
        <w:tc>
          <w:tcPr>
            <w:tcW w:w="1276" w:type="dxa"/>
            <w:tcBorders>
              <w:top w:val="single" w:sz="4" w:space="0" w:color="auto"/>
              <w:left w:val="nil"/>
              <w:bottom w:val="single" w:sz="4" w:space="0" w:color="auto"/>
              <w:right w:val="single" w:sz="4" w:space="0" w:color="auto"/>
            </w:tcBorders>
            <w:shd w:val="clear" w:color="auto" w:fill="auto"/>
          </w:tcPr>
          <w:p w14:paraId="080FDCBD" w14:textId="4BFC0B36"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6,399,283 </w:t>
            </w:r>
          </w:p>
        </w:tc>
        <w:tc>
          <w:tcPr>
            <w:tcW w:w="1203" w:type="dxa"/>
            <w:tcBorders>
              <w:top w:val="nil"/>
              <w:left w:val="single" w:sz="4" w:space="0" w:color="auto"/>
              <w:bottom w:val="single" w:sz="4" w:space="0" w:color="auto"/>
              <w:right w:val="single" w:sz="4" w:space="0" w:color="auto"/>
            </w:tcBorders>
            <w:shd w:val="clear" w:color="auto" w:fill="auto"/>
          </w:tcPr>
          <w:p w14:paraId="63940384" w14:textId="01F34E1E"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8,127,707 </w:t>
            </w:r>
          </w:p>
        </w:tc>
        <w:tc>
          <w:tcPr>
            <w:tcW w:w="3674" w:type="dxa"/>
            <w:tcBorders>
              <w:top w:val="nil"/>
              <w:left w:val="single" w:sz="4" w:space="0" w:color="auto"/>
              <w:bottom w:val="single" w:sz="4" w:space="0" w:color="auto"/>
              <w:right w:val="single" w:sz="4" w:space="0" w:color="auto"/>
            </w:tcBorders>
            <w:shd w:val="clear" w:color="auto" w:fill="auto"/>
          </w:tcPr>
          <w:p w14:paraId="4057DC62"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Fianzas y depósitos en garantía</w:t>
            </w:r>
          </w:p>
        </w:tc>
      </w:tr>
      <w:tr w:rsidR="004B207E" w:rsidRPr="001045B7" w14:paraId="5F808D6F" w14:textId="77777777" w:rsidTr="001174F8">
        <w:trPr>
          <w:trHeight w:val="207"/>
          <w:jc w:val="center"/>
        </w:trPr>
        <w:tc>
          <w:tcPr>
            <w:tcW w:w="5665" w:type="dxa"/>
            <w:tcBorders>
              <w:top w:val="nil"/>
              <w:left w:val="single" w:sz="4" w:space="0" w:color="auto"/>
              <w:bottom w:val="single" w:sz="4" w:space="0" w:color="auto"/>
              <w:right w:val="single" w:sz="4" w:space="0" w:color="auto"/>
            </w:tcBorders>
            <w:shd w:val="clear" w:color="auto" w:fill="auto"/>
          </w:tcPr>
          <w:p w14:paraId="113DFD54"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Fondos en Administración a Corto Plazo</w:t>
            </w:r>
          </w:p>
        </w:tc>
        <w:tc>
          <w:tcPr>
            <w:tcW w:w="1276" w:type="dxa"/>
            <w:tcBorders>
              <w:top w:val="single" w:sz="4" w:space="0" w:color="auto"/>
              <w:left w:val="nil"/>
              <w:bottom w:val="single" w:sz="4" w:space="0" w:color="auto"/>
              <w:right w:val="single" w:sz="4" w:space="0" w:color="auto"/>
            </w:tcBorders>
            <w:shd w:val="clear" w:color="auto" w:fill="auto"/>
          </w:tcPr>
          <w:p w14:paraId="122C3FE2" w14:textId="568A51E3"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203" w:type="dxa"/>
            <w:tcBorders>
              <w:top w:val="nil"/>
              <w:left w:val="single" w:sz="4" w:space="0" w:color="auto"/>
              <w:bottom w:val="single" w:sz="4" w:space="0" w:color="auto"/>
              <w:right w:val="single" w:sz="4" w:space="0" w:color="auto"/>
            </w:tcBorders>
            <w:shd w:val="clear" w:color="auto" w:fill="auto"/>
          </w:tcPr>
          <w:p w14:paraId="469B75B3" w14:textId="7145AC50"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3674" w:type="dxa"/>
            <w:tcBorders>
              <w:top w:val="nil"/>
              <w:left w:val="single" w:sz="4" w:space="0" w:color="auto"/>
              <w:bottom w:val="single" w:sz="4" w:space="0" w:color="auto"/>
              <w:right w:val="single" w:sz="4" w:space="0" w:color="auto"/>
            </w:tcBorders>
            <w:shd w:val="clear" w:color="auto" w:fill="auto"/>
          </w:tcPr>
          <w:p w14:paraId="54FF417F" w14:textId="77777777" w:rsidR="004B207E" w:rsidRPr="001045B7" w:rsidRDefault="004B207E" w:rsidP="004B207E">
            <w:pPr>
              <w:rPr>
                <w:rFonts w:asciiTheme="minorHAnsi" w:hAnsiTheme="minorHAnsi" w:cstheme="minorHAnsi"/>
                <w:sz w:val="17"/>
                <w:szCs w:val="17"/>
              </w:rPr>
            </w:pPr>
          </w:p>
        </w:tc>
      </w:tr>
      <w:tr w:rsidR="004B207E" w:rsidRPr="001045B7" w14:paraId="01986B58" w14:textId="77777777" w:rsidTr="001174F8">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1BED588"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Otros Fondos de Terceros en Garantía y/o Administración a Corto Plazo</w:t>
            </w:r>
          </w:p>
        </w:tc>
        <w:tc>
          <w:tcPr>
            <w:tcW w:w="1276" w:type="dxa"/>
            <w:tcBorders>
              <w:top w:val="single" w:sz="4" w:space="0" w:color="auto"/>
              <w:left w:val="nil"/>
              <w:bottom w:val="single" w:sz="4" w:space="0" w:color="auto"/>
              <w:right w:val="single" w:sz="4" w:space="0" w:color="auto"/>
            </w:tcBorders>
            <w:shd w:val="clear" w:color="auto" w:fill="auto"/>
          </w:tcPr>
          <w:p w14:paraId="7112A60F" w14:textId="5B43C4A4"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26,970,859 </w:t>
            </w:r>
          </w:p>
        </w:tc>
        <w:tc>
          <w:tcPr>
            <w:tcW w:w="1203" w:type="dxa"/>
            <w:tcBorders>
              <w:top w:val="nil"/>
              <w:left w:val="single" w:sz="4" w:space="0" w:color="auto"/>
              <w:bottom w:val="single" w:sz="4" w:space="0" w:color="auto"/>
              <w:right w:val="single" w:sz="4" w:space="0" w:color="auto"/>
            </w:tcBorders>
            <w:shd w:val="clear" w:color="auto" w:fill="auto"/>
          </w:tcPr>
          <w:p w14:paraId="73797D9D" w14:textId="72872F22" w:rsidR="004B207E" w:rsidRPr="001045B7" w:rsidRDefault="004B207E" w:rsidP="004B207E">
            <w:pPr>
              <w:jc w:val="right"/>
              <w:rPr>
                <w:rFonts w:asciiTheme="minorHAnsi" w:hAnsiTheme="minorHAnsi" w:cstheme="minorHAnsi"/>
                <w:sz w:val="17"/>
                <w:szCs w:val="17"/>
              </w:rPr>
            </w:pPr>
            <w:r w:rsidRPr="001045B7">
              <w:rPr>
                <w:rFonts w:asciiTheme="minorHAnsi" w:hAnsiTheme="minorHAnsi" w:cstheme="minorHAnsi"/>
                <w:sz w:val="17"/>
                <w:szCs w:val="17"/>
              </w:rPr>
              <w:t xml:space="preserve"> 30,658,619 </w:t>
            </w: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16D4ED18" w14:textId="77777777" w:rsidR="004B207E" w:rsidRPr="001045B7" w:rsidRDefault="004B207E" w:rsidP="004B207E">
            <w:pPr>
              <w:rPr>
                <w:rFonts w:asciiTheme="minorHAnsi" w:hAnsiTheme="minorHAnsi" w:cstheme="minorHAnsi"/>
                <w:sz w:val="17"/>
                <w:szCs w:val="17"/>
              </w:rPr>
            </w:pPr>
            <w:r w:rsidRPr="001045B7">
              <w:rPr>
                <w:rFonts w:asciiTheme="minorHAnsi" w:hAnsiTheme="minorHAnsi" w:cstheme="minorHAnsi"/>
                <w:sz w:val="17"/>
                <w:szCs w:val="17"/>
              </w:rPr>
              <w:t>Sanciones y retenciones de obra pública</w:t>
            </w:r>
          </w:p>
        </w:tc>
      </w:tr>
      <w:tr w:rsidR="004B207E" w:rsidRPr="001045B7" w14:paraId="549513E4" w14:textId="77777777" w:rsidTr="001174F8">
        <w:trPr>
          <w:trHeight w:val="151"/>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AB63B" w14:textId="77777777" w:rsidR="004B207E" w:rsidRPr="001045B7" w:rsidRDefault="004B207E" w:rsidP="004B207E">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0DD62A" w14:textId="6B245804" w:rsidR="004B207E" w:rsidRPr="001045B7" w:rsidRDefault="004B207E" w:rsidP="004B207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33,370,142 </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DE01AB" w14:textId="1078C9EB" w:rsidR="004B207E" w:rsidRPr="001045B7" w:rsidRDefault="004B207E" w:rsidP="004B207E">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38,786,326 </w:t>
            </w:r>
          </w:p>
        </w:tc>
        <w:tc>
          <w:tcPr>
            <w:tcW w:w="3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2D2FD" w14:textId="77777777" w:rsidR="004B207E" w:rsidRPr="001045B7" w:rsidRDefault="004B207E" w:rsidP="004B207E">
            <w:pPr>
              <w:jc w:val="right"/>
              <w:rPr>
                <w:rFonts w:asciiTheme="minorHAnsi" w:hAnsiTheme="minorHAnsi" w:cstheme="minorHAnsi"/>
                <w:bCs/>
                <w:color w:val="000000"/>
                <w:sz w:val="17"/>
                <w:szCs w:val="17"/>
              </w:rPr>
            </w:pPr>
          </w:p>
        </w:tc>
      </w:tr>
    </w:tbl>
    <w:p w14:paraId="33C36E54" w14:textId="3427D06A" w:rsidR="008A0DA2" w:rsidRPr="001045B7" w:rsidRDefault="00FF1B22" w:rsidP="008A0DA2">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ab/>
      </w:r>
    </w:p>
    <w:p w14:paraId="10FCDE26" w14:textId="5F536685" w:rsidR="008A0DA2" w:rsidRPr="001045B7" w:rsidRDefault="00F653EF" w:rsidP="008A0DA2">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Fondos en garantía a corto plazo presenta un </w:t>
      </w:r>
      <w:r w:rsidR="00963FB9" w:rsidRPr="001045B7">
        <w:rPr>
          <w:rFonts w:asciiTheme="minorHAnsi" w:hAnsiTheme="minorHAnsi" w:cstheme="minorHAnsi"/>
          <w:sz w:val="17"/>
          <w:szCs w:val="17"/>
        </w:rPr>
        <w:t>de</w:t>
      </w:r>
      <w:r w:rsidRPr="001045B7">
        <w:rPr>
          <w:rFonts w:asciiTheme="minorHAnsi" w:hAnsiTheme="minorHAnsi" w:cstheme="minorHAnsi"/>
          <w:sz w:val="17"/>
          <w:szCs w:val="17"/>
        </w:rPr>
        <w:t xml:space="preserve">cremento derivado principalmente de los movimientos en la cuenta de </w:t>
      </w:r>
      <w:r w:rsidR="00963FB9" w:rsidRPr="001045B7">
        <w:rPr>
          <w:rFonts w:asciiTheme="minorHAnsi" w:hAnsiTheme="minorHAnsi" w:cstheme="minorHAnsi"/>
          <w:sz w:val="17"/>
          <w:szCs w:val="17"/>
        </w:rPr>
        <w:t>reparación del daño al agraviado.</w:t>
      </w:r>
    </w:p>
    <w:p w14:paraId="493EAA47" w14:textId="77777777" w:rsidR="008A0DA2" w:rsidRPr="001045B7" w:rsidRDefault="008A0DA2" w:rsidP="008A0DA2">
      <w:pPr>
        <w:pStyle w:val="Prrafodelista"/>
        <w:spacing w:line="276" w:lineRule="auto"/>
        <w:ind w:left="0"/>
        <w:jc w:val="both"/>
        <w:rPr>
          <w:rFonts w:asciiTheme="minorHAnsi" w:hAnsiTheme="minorHAnsi" w:cstheme="minorHAnsi"/>
          <w:sz w:val="17"/>
          <w:szCs w:val="17"/>
        </w:rPr>
      </w:pPr>
    </w:p>
    <w:p w14:paraId="2DC42254" w14:textId="237752F6" w:rsidR="008A0DA2" w:rsidRPr="001045B7" w:rsidRDefault="008A0DA2" w:rsidP="008A0DA2">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Otros Fondos de Terceros en Garantía y/o Administración a Corto Plazo presentan un </w:t>
      </w:r>
      <w:r w:rsidR="00963FB9" w:rsidRPr="001045B7">
        <w:rPr>
          <w:rFonts w:asciiTheme="minorHAnsi" w:hAnsiTheme="minorHAnsi" w:cstheme="minorHAnsi"/>
          <w:sz w:val="17"/>
          <w:szCs w:val="17"/>
        </w:rPr>
        <w:t>de</w:t>
      </w:r>
      <w:r w:rsidRPr="001045B7">
        <w:rPr>
          <w:rFonts w:asciiTheme="minorHAnsi" w:hAnsiTheme="minorHAnsi" w:cstheme="minorHAnsi"/>
          <w:sz w:val="17"/>
          <w:szCs w:val="17"/>
        </w:rPr>
        <w:t xml:space="preserve">cremento derivado de </w:t>
      </w:r>
      <w:r w:rsidR="00963FB9" w:rsidRPr="001045B7">
        <w:rPr>
          <w:rFonts w:asciiTheme="minorHAnsi" w:hAnsiTheme="minorHAnsi" w:cstheme="minorHAnsi"/>
          <w:sz w:val="17"/>
          <w:szCs w:val="17"/>
        </w:rPr>
        <w:t xml:space="preserve">las </w:t>
      </w:r>
      <w:r w:rsidRPr="001045B7">
        <w:rPr>
          <w:rFonts w:asciiTheme="minorHAnsi" w:hAnsiTheme="minorHAnsi" w:cstheme="minorHAnsi"/>
          <w:sz w:val="17"/>
          <w:szCs w:val="17"/>
        </w:rPr>
        <w:t>retenciones por atraso de obra pública.</w:t>
      </w:r>
    </w:p>
    <w:p w14:paraId="66FCFDFE" w14:textId="0AC5D951" w:rsidR="00FF1B22" w:rsidRPr="001045B7" w:rsidRDefault="00FF1B22" w:rsidP="008A0DA2">
      <w:pPr>
        <w:pStyle w:val="Prrafodelista"/>
        <w:spacing w:line="276" w:lineRule="auto"/>
        <w:ind w:left="0"/>
        <w:jc w:val="both"/>
        <w:rPr>
          <w:rFonts w:asciiTheme="minorHAnsi" w:hAnsiTheme="minorHAnsi" w:cstheme="minorHAnsi"/>
          <w:sz w:val="17"/>
          <w:szCs w:val="17"/>
        </w:rPr>
      </w:pPr>
    </w:p>
    <w:p w14:paraId="49F3FE48" w14:textId="57B74BAB"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Pasivos Diferidos</w:t>
      </w:r>
    </w:p>
    <w:p w14:paraId="2DDEC28D" w14:textId="24EF9EC8" w:rsidR="00E00021" w:rsidRPr="001045B7" w:rsidRDefault="00E00021" w:rsidP="00860054">
      <w:pPr>
        <w:pStyle w:val="Prrafodelista"/>
        <w:spacing w:line="276" w:lineRule="auto"/>
        <w:ind w:left="1416"/>
        <w:jc w:val="both"/>
        <w:rPr>
          <w:rFonts w:asciiTheme="minorHAnsi" w:hAnsiTheme="minorHAnsi" w:cstheme="minorHAnsi"/>
          <w:sz w:val="17"/>
          <w:szCs w:val="17"/>
        </w:rPr>
      </w:pPr>
    </w:p>
    <w:p w14:paraId="20CA7430" w14:textId="453FA67D" w:rsidR="00B21DA1" w:rsidRPr="001045B7" w:rsidRDefault="00E00021" w:rsidP="00F82EBB">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que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 </w:t>
      </w:r>
      <w:r w:rsidRPr="001045B7">
        <w:rPr>
          <w:rFonts w:asciiTheme="minorHAnsi" w:hAnsiTheme="minorHAnsi" w:cstheme="minorHAnsi"/>
          <w:sz w:val="17"/>
          <w:szCs w:val="17"/>
        </w:rPr>
        <w:t>no hay nada que manifestar.</w:t>
      </w:r>
    </w:p>
    <w:p w14:paraId="7476D614" w14:textId="77777777" w:rsidR="00AB3F3C" w:rsidRPr="001045B7" w:rsidRDefault="00AB3F3C" w:rsidP="00860054">
      <w:pPr>
        <w:pStyle w:val="Prrafodelista"/>
        <w:spacing w:line="276" w:lineRule="auto"/>
        <w:ind w:left="1416"/>
        <w:jc w:val="both"/>
        <w:rPr>
          <w:rFonts w:asciiTheme="minorHAnsi" w:hAnsiTheme="minorHAnsi" w:cstheme="minorHAnsi"/>
          <w:b/>
          <w:sz w:val="17"/>
          <w:szCs w:val="17"/>
        </w:rPr>
      </w:pPr>
    </w:p>
    <w:p w14:paraId="13787924" w14:textId="3C250D2A"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Provisiones</w:t>
      </w:r>
    </w:p>
    <w:p w14:paraId="3B749886" w14:textId="07A79B3C" w:rsidR="008A0DA2" w:rsidRPr="001045B7" w:rsidRDefault="008A0DA2" w:rsidP="00860054">
      <w:pPr>
        <w:pStyle w:val="Prrafodelista"/>
        <w:spacing w:line="276" w:lineRule="auto"/>
        <w:ind w:left="1416"/>
        <w:jc w:val="both"/>
        <w:rPr>
          <w:rFonts w:asciiTheme="minorHAnsi" w:hAnsiTheme="minorHAnsi" w:cstheme="minorHAnsi"/>
          <w:sz w:val="17"/>
          <w:szCs w:val="17"/>
        </w:rPr>
      </w:pPr>
    </w:p>
    <w:p w14:paraId="43FB145A" w14:textId="5B7FC811" w:rsidR="008A0DA2" w:rsidRPr="001045B7" w:rsidRDefault="008A0DA2" w:rsidP="008A0DA2">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el monto del rubro Provisiones a Corto Plazo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534E1D0C" w14:textId="605098A3" w:rsidR="008A0DA2" w:rsidRPr="001045B7" w:rsidRDefault="008A0DA2" w:rsidP="00860054">
      <w:pPr>
        <w:pStyle w:val="Prrafodelista"/>
        <w:spacing w:line="276" w:lineRule="auto"/>
        <w:ind w:left="1416"/>
        <w:jc w:val="both"/>
        <w:rPr>
          <w:rFonts w:asciiTheme="minorHAnsi" w:hAnsiTheme="minorHAnsi" w:cstheme="minorHAnsi"/>
          <w:sz w:val="17"/>
          <w:szCs w:val="17"/>
        </w:rPr>
      </w:pPr>
    </w:p>
    <w:p w14:paraId="0F94F780" w14:textId="30CB73B8" w:rsidR="008A0DA2" w:rsidRPr="001045B7" w:rsidRDefault="008A0DA2" w:rsidP="008A0DA2">
      <w:pPr>
        <w:spacing w:before="80" w:line="250" w:lineRule="exact"/>
        <w:ind w:left="5807" w:right="-1559" w:firstLine="565"/>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5401" w:type="dxa"/>
        <w:tblInd w:w="3831" w:type="dxa"/>
        <w:tblCellMar>
          <w:left w:w="70" w:type="dxa"/>
          <w:right w:w="70" w:type="dxa"/>
        </w:tblCellMar>
        <w:tblLook w:val="04A0" w:firstRow="1" w:lastRow="0" w:firstColumn="1" w:lastColumn="0" w:noHBand="0" w:noVBand="1"/>
      </w:tblPr>
      <w:tblGrid>
        <w:gridCol w:w="3163"/>
        <w:gridCol w:w="2238"/>
      </w:tblGrid>
      <w:tr w:rsidR="008A0DA2" w:rsidRPr="001045B7" w14:paraId="0E8C8B63" w14:textId="77777777" w:rsidTr="00AF6204">
        <w:trPr>
          <w:trHeight w:val="283"/>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E79CD3" w14:textId="77777777" w:rsidR="008A0DA2" w:rsidRPr="001045B7" w:rsidRDefault="008A0DA2"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22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7834C1" w14:textId="1153179E"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r>
      <w:tr w:rsidR="00057A01" w:rsidRPr="001045B7" w14:paraId="462F5AA3" w14:textId="77777777" w:rsidTr="00AF6204">
        <w:trPr>
          <w:trHeight w:val="240"/>
        </w:trPr>
        <w:tc>
          <w:tcPr>
            <w:tcW w:w="3163" w:type="dxa"/>
            <w:tcBorders>
              <w:top w:val="nil"/>
              <w:left w:val="single" w:sz="4" w:space="0" w:color="auto"/>
              <w:bottom w:val="single" w:sz="4" w:space="0" w:color="auto"/>
              <w:right w:val="single" w:sz="4" w:space="0" w:color="auto"/>
            </w:tcBorders>
            <w:shd w:val="clear" w:color="auto" w:fill="auto"/>
          </w:tcPr>
          <w:p w14:paraId="40CBFC14" w14:textId="77777777" w:rsidR="00057A01" w:rsidRPr="001045B7" w:rsidRDefault="00057A01" w:rsidP="00057A01">
            <w:pPr>
              <w:rPr>
                <w:rFonts w:asciiTheme="minorHAnsi" w:hAnsiTheme="minorHAnsi" w:cstheme="minorHAnsi"/>
                <w:sz w:val="17"/>
                <w:szCs w:val="17"/>
              </w:rPr>
            </w:pPr>
            <w:r w:rsidRPr="001045B7">
              <w:rPr>
                <w:rFonts w:asciiTheme="minorHAnsi" w:hAnsiTheme="minorHAnsi" w:cstheme="minorHAnsi"/>
                <w:sz w:val="17"/>
                <w:szCs w:val="17"/>
              </w:rPr>
              <w:t>Otras Provisiones a Corto Plazo</w:t>
            </w:r>
          </w:p>
        </w:tc>
        <w:tc>
          <w:tcPr>
            <w:tcW w:w="2238" w:type="dxa"/>
            <w:tcBorders>
              <w:top w:val="single" w:sz="4" w:space="0" w:color="auto"/>
              <w:left w:val="nil"/>
              <w:bottom w:val="single" w:sz="4" w:space="0" w:color="auto"/>
              <w:right w:val="single" w:sz="4" w:space="0" w:color="auto"/>
            </w:tcBorders>
            <w:shd w:val="clear" w:color="auto" w:fill="auto"/>
          </w:tcPr>
          <w:p w14:paraId="6C925E0F" w14:textId="36EEF192" w:rsidR="00057A01" w:rsidRPr="001045B7" w:rsidRDefault="00BC35DC" w:rsidP="00057A01">
            <w:pPr>
              <w:jc w:val="right"/>
              <w:rPr>
                <w:rFonts w:asciiTheme="minorHAnsi" w:hAnsiTheme="minorHAnsi" w:cstheme="minorHAnsi"/>
                <w:sz w:val="17"/>
                <w:szCs w:val="17"/>
              </w:rPr>
            </w:pPr>
            <w:r w:rsidRPr="001045B7">
              <w:rPr>
                <w:rFonts w:asciiTheme="minorHAnsi" w:hAnsiTheme="minorHAnsi" w:cstheme="minorHAnsi"/>
                <w:sz w:val="17"/>
                <w:szCs w:val="17"/>
              </w:rPr>
              <w:t>-</w:t>
            </w:r>
            <w:r w:rsidR="00057A01" w:rsidRPr="001045B7">
              <w:rPr>
                <w:rFonts w:asciiTheme="minorHAnsi" w:hAnsiTheme="minorHAnsi" w:cstheme="minorHAnsi"/>
                <w:sz w:val="17"/>
                <w:szCs w:val="17"/>
              </w:rPr>
              <w:t xml:space="preserve"> </w:t>
            </w:r>
          </w:p>
        </w:tc>
      </w:tr>
      <w:tr w:rsidR="00057A01" w:rsidRPr="001045B7" w14:paraId="7457A20D" w14:textId="77777777" w:rsidTr="00AF6204">
        <w:trPr>
          <w:trHeight w:val="240"/>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B4FC5A" w14:textId="77777777" w:rsidR="00057A01" w:rsidRPr="001045B7" w:rsidRDefault="00057A01" w:rsidP="00057A01">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1DA11" w14:textId="72F46FEC" w:rsidR="00057A01" w:rsidRPr="001045B7" w:rsidRDefault="00057A01" w:rsidP="00057A01">
            <w:pPr>
              <w:jc w:val="right"/>
              <w:rPr>
                <w:rFonts w:asciiTheme="minorHAnsi" w:hAnsiTheme="minorHAnsi" w:cstheme="minorHAnsi"/>
                <w:b/>
                <w:sz w:val="17"/>
                <w:szCs w:val="17"/>
              </w:rPr>
            </w:pPr>
            <w:r w:rsidRPr="001045B7">
              <w:rPr>
                <w:rFonts w:asciiTheme="minorHAnsi" w:hAnsiTheme="minorHAnsi" w:cstheme="minorHAnsi"/>
                <w:b/>
                <w:sz w:val="17"/>
                <w:szCs w:val="17"/>
              </w:rPr>
              <w:t xml:space="preserve"> </w:t>
            </w:r>
            <w:r w:rsidR="00BC35DC" w:rsidRPr="001045B7">
              <w:rPr>
                <w:rFonts w:asciiTheme="minorHAnsi" w:hAnsiTheme="minorHAnsi" w:cstheme="minorHAnsi"/>
                <w:b/>
                <w:sz w:val="17"/>
                <w:szCs w:val="17"/>
              </w:rPr>
              <w:t>-</w:t>
            </w:r>
            <w:r w:rsidRPr="001045B7">
              <w:rPr>
                <w:rFonts w:asciiTheme="minorHAnsi" w:hAnsiTheme="minorHAnsi" w:cstheme="minorHAnsi"/>
                <w:b/>
                <w:sz w:val="17"/>
                <w:szCs w:val="17"/>
              </w:rPr>
              <w:t xml:space="preserve"> </w:t>
            </w:r>
          </w:p>
        </w:tc>
      </w:tr>
    </w:tbl>
    <w:p w14:paraId="0EFC7EAF" w14:textId="0F1BBB61" w:rsidR="008A0DA2" w:rsidRPr="001045B7" w:rsidRDefault="008A0DA2" w:rsidP="008A0DA2">
      <w:pPr>
        <w:pStyle w:val="Prrafodelista"/>
        <w:spacing w:line="276" w:lineRule="auto"/>
        <w:ind w:left="0"/>
        <w:jc w:val="both"/>
        <w:rPr>
          <w:rFonts w:asciiTheme="minorHAnsi" w:hAnsiTheme="minorHAnsi" w:cstheme="minorHAnsi"/>
          <w:sz w:val="17"/>
          <w:szCs w:val="17"/>
        </w:rPr>
      </w:pPr>
    </w:p>
    <w:p w14:paraId="1D73FFE9" w14:textId="6DEF9418" w:rsidR="008A0DA2" w:rsidRPr="001045B7" w:rsidRDefault="002F6AAB" w:rsidP="008A0DA2">
      <w:pPr>
        <w:rPr>
          <w:rFonts w:asciiTheme="minorHAnsi" w:hAnsiTheme="minorHAnsi" w:cstheme="minorHAnsi"/>
          <w:sz w:val="17"/>
          <w:szCs w:val="17"/>
        </w:rPr>
      </w:pPr>
      <w:r w:rsidRPr="001045B7">
        <w:rPr>
          <w:rFonts w:asciiTheme="minorHAnsi" w:hAnsiTheme="minorHAnsi" w:cstheme="minorHAnsi"/>
          <w:sz w:val="17"/>
          <w:szCs w:val="17"/>
        </w:rPr>
        <w:t xml:space="preserve">Lo que se presenta en esta cuenta </w:t>
      </w:r>
      <w:r w:rsidR="00F653EF" w:rsidRPr="001045B7">
        <w:rPr>
          <w:rFonts w:asciiTheme="minorHAnsi" w:hAnsiTheme="minorHAnsi" w:cstheme="minorHAnsi"/>
          <w:sz w:val="17"/>
          <w:szCs w:val="17"/>
        </w:rPr>
        <w:t>es derivado de la provisión por</w:t>
      </w:r>
      <w:r w:rsidR="008A0DA2" w:rsidRPr="001045B7">
        <w:rPr>
          <w:rFonts w:asciiTheme="minorHAnsi" w:hAnsiTheme="minorHAnsi" w:cstheme="minorHAnsi"/>
          <w:sz w:val="17"/>
          <w:szCs w:val="17"/>
        </w:rPr>
        <w:t xml:space="preserve"> conceptos como el Aguinaldo, Vacaciones y Despensa de los trabajadores del Poder Ejecutivo conforme se </w:t>
      </w:r>
      <w:r w:rsidR="00B10919" w:rsidRPr="001045B7">
        <w:rPr>
          <w:rFonts w:asciiTheme="minorHAnsi" w:hAnsiTheme="minorHAnsi" w:cstheme="minorHAnsi"/>
          <w:sz w:val="17"/>
          <w:szCs w:val="17"/>
        </w:rPr>
        <w:t>van</w:t>
      </w:r>
      <w:r w:rsidR="008A0DA2" w:rsidRPr="001045B7">
        <w:rPr>
          <w:rFonts w:asciiTheme="minorHAnsi" w:hAnsiTheme="minorHAnsi" w:cstheme="minorHAnsi"/>
          <w:sz w:val="17"/>
          <w:szCs w:val="17"/>
        </w:rPr>
        <w:t xml:space="preserve"> devengando.</w:t>
      </w:r>
    </w:p>
    <w:p w14:paraId="1E2A632B" w14:textId="472AA83B" w:rsidR="00731906" w:rsidRPr="001045B7" w:rsidRDefault="00731906" w:rsidP="008A0DA2">
      <w:pPr>
        <w:rPr>
          <w:rFonts w:asciiTheme="minorHAnsi" w:hAnsiTheme="minorHAnsi" w:cstheme="minorHAnsi"/>
          <w:sz w:val="17"/>
          <w:szCs w:val="17"/>
        </w:rPr>
      </w:pPr>
    </w:p>
    <w:p w14:paraId="49E450C1" w14:textId="77777777" w:rsidR="00CB13C9" w:rsidRPr="001045B7" w:rsidRDefault="00CB13C9" w:rsidP="00731906">
      <w:pPr>
        <w:pStyle w:val="Prrafodelista"/>
        <w:spacing w:line="276" w:lineRule="auto"/>
        <w:ind w:left="0"/>
        <w:jc w:val="both"/>
        <w:rPr>
          <w:rFonts w:asciiTheme="minorHAnsi" w:hAnsiTheme="minorHAnsi" w:cstheme="minorHAnsi"/>
          <w:sz w:val="17"/>
          <w:szCs w:val="17"/>
        </w:rPr>
      </w:pPr>
    </w:p>
    <w:p w14:paraId="5C31EDBC" w14:textId="231DEF14" w:rsidR="00731906" w:rsidRPr="001045B7" w:rsidRDefault="00731906" w:rsidP="0073190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el saldo del rubro Provisiones a Largo Plazo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2453B902" w14:textId="77777777" w:rsidR="00731906" w:rsidRPr="001045B7" w:rsidRDefault="00731906" w:rsidP="00731906">
      <w:pPr>
        <w:autoSpaceDE w:val="0"/>
        <w:autoSpaceDN w:val="0"/>
        <w:adjustRightInd w:val="0"/>
        <w:spacing w:before="240"/>
        <w:ind w:left="36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6232" w:type="dxa"/>
        <w:jc w:val="center"/>
        <w:tblCellMar>
          <w:left w:w="70" w:type="dxa"/>
          <w:right w:w="70" w:type="dxa"/>
        </w:tblCellMar>
        <w:tblLook w:val="04A0" w:firstRow="1" w:lastRow="0" w:firstColumn="1" w:lastColumn="0" w:noHBand="0" w:noVBand="1"/>
      </w:tblPr>
      <w:tblGrid>
        <w:gridCol w:w="3188"/>
        <w:gridCol w:w="1485"/>
        <w:gridCol w:w="1559"/>
      </w:tblGrid>
      <w:tr w:rsidR="00731906" w:rsidRPr="001045B7" w14:paraId="5400C9C1" w14:textId="77777777" w:rsidTr="001174F8">
        <w:trPr>
          <w:trHeight w:val="357"/>
          <w:jc w:val="center"/>
        </w:trPr>
        <w:tc>
          <w:tcPr>
            <w:tcW w:w="3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D380D" w14:textId="77777777" w:rsidR="00731906" w:rsidRPr="001045B7" w:rsidRDefault="0073190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8C2FA7" w14:textId="4E7818DF"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CE6D8" w14:textId="3792AF46"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731906" w:rsidRPr="001045B7" w14:paraId="0F06B12C" w14:textId="77777777" w:rsidTr="00AF6204">
        <w:trPr>
          <w:trHeight w:val="240"/>
          <w:jc w:val="center"/>
        </w:trPr>
        <w:tc>
          <w:tcPr>
            <w:tcW w:w="3188" w:type="dxa"/>
            <w:tcBorders>
              <w:top w:val="single" w:sz="4" w:space="0" w:color="auto"/>
              <w:left w:val="single" w:sz="4" w:space="0" w:color="auto"/>
              <w:bottom w:val="single" w:sz="4" w:space="0" w:color="auto"/>
              <w:right w:val="single" w:sz="4" w:space="0" w:color="auto"/>
            </w:tcBorders>
            <w:shd w:val="clear" w:color="auto" w:fill="auto"/>
          </w:tcPr>
          <w:p w14:paraId="3D48D06C" w14:textId="77777777" w:rsidR="00731906" w:rsidRPr="001045B7" w:rsidRDefault="00731906" w:rsidP="00AF6204">
            <w:pPr>
              <w:rPr>
                <w:rFonts w:asciiTheme="minorHAnsi" w:hAnsiTheme="minorHAnsi" w:cstheme="minorHAnsi"/>
                <w:sz w:val="17"/>
                <w:szCs w:val="17"/>
              </w:rPr>
            </w:pPr>
            <w:r w:rsidRPr="001045B7">
              <w:rPr>
                <w:rFonts w:asciiTheme="minorHAnsi" w:hAnsiTheme="minorHAnsi" w:cstheme="minorHAnsi"/>
                <w:sz w:val="17"/>
                <w:szCs w:val="17"/>
              </w:rPr>
              <w:t>Provisión para Pensiones a Largo Plazo</w:t>
            </w:r>
          </w:p>
        </w:tc>
        <w:tc>
          <w:tcPr>
            <w:tcW w:w="1485" w:type="dxa"/>
            <w:tcBorders>
              <w:top w:val="single" w:sz="4" w:space="0" w:color="auto"/>
              <w:left w:val="nil"/>
              <w:bottom w:val="single" w:sz="4" w:space="0" w:color="auto"/>
              <w:right w:val="single" w:sz="4" w:space="0" w:color="auto"/>
            </w:tcBorders>
            <w:shd w:val="clear" w:color="auto" w:fill="auto"/>
          </w:tcPr>
          <w:p w14:paraId="2D709AE0" w14:textId="77777777" w:rsidR="00731906" w:rsidRPr="001045B7" w:rsidRDefault="00731906" w:rsidP="00AF620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F23C78" w14:textId="0DB8097E" w:rsidR="00731906" w:rsidRPr="001045B7" w:rsidRDefault="00F05F25"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r>
    </w:tbl>
    <w:p w14:paraId="153270C9" w14:textId="77777777" w:rsidR="00B21DA1" w:rsidRPr="001045B7" w:rsidRDefault="00B21DA1" w:rsidP="00731906">
      <w:pPr>
        <w:pStyle w:val="Prrafodelista"/>
        <w:spacing w:line="276" w:lineRule="auto"/>
        <w:ind w:left="0"/>
        <w:jc w:val="both"/>
        <w:rPr>
          <w:rFonts w:asciiTheme="minorHAnsi" w:hAnsiTheme="minorHAnsi" w:cstheme="minorHAnsi"/>
          <w:sz w:val="17"/>
          <w:szCs w:val="17"/>
        </w:rPr>
      </w:pPr>
    </w:p>
    <w:p w14:paraId="19CC1D11" w14:textId="558F9349" w:rsidR="00731906" w:rsidRPr="001045B7" w:rsidRDefault="00731906" w:rsidP="0073190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El saldo que se presenta </w:t>
      </w:r>
      <w:r w:rsidR="00F05F25" w:rsidRPr="001045B7">
        <w:rPr>
          <w:rFonts w:asciiTheme="minorHAnsi" w:hAnsiTheme="minorHAnsi" w:cstheme="minorHAnsi"/>
          <w:sz w:val="17"/>
          <w:szCs w:val="17"/>
        </w:rPr>
        <w:t xml:space="preserve">en esta cuenta </w:t>
      </w:r>
      <w:r w:rsidRPr="001045B7">
        <w:rPr>
          <w:rFonts w:asciiTheme="minorHAnsi" w:hAnsiTheme="minorHAnsi" w:cstheme="minorHAnsi"/>
          <w:sz w:val="17"/>
          <w:szCs w:val="17"/>
        </w:rPr>
        <w:t>corresponde a la reserva actuari</w:t>
      </w:r>
      <w:r w:rsidR="00735C33" w:rsidRPr="001045B7">
        <w:rPr>
          <w:rFonts w:asciiTheme="minorHAnsi" w:hAnsiTheme="minorHAnsi" w:cstheme="minorHAnsi"/>
          <w:sz w:val="17"/>
          <w:szCs w:val="17"/>
        </w:rPr>
        <w:t xml:space="preserve">al para pensionados y jubilados. Cabe mencionar que </w:t>
      </w:r>
      <w:r w:rsidR="00F05F25" w:rsidRPr="001045B7">
        <w:rPr>
          <w:rFonts w:asciiTheme="minorHAnsi" w:hAnsiTheme="minorHAnsi" w:cstheme="minorHAnsi"/>
          <w:sz w:val="17"/>
          <w:szCs w:val="17"/>
        </w:rPr>
        <w:t>se creó el</w:t>
      </w:r>
      <w:r w:rsidR="00735C33" w:rsidRPr="001045B7">
        <w:rPr>
          <w:rFonts w:asciiTheme="minorHAnsi" w:hAnsiTheme="minorHAnsi" w:cstheme="minorHAnsi"/>
          <w:sz w:val="17"/>
          <w:szCs w:val="17"/>
        </w:rPr>
        <w:t xml:space="preserve"> fideicomiso </w:t>
      </w:r>
      <w:proofErr w:type="spellStart"/>
      <w:r w:rsidR="00735C33" w:rsidRPr="001045B7">
        <w:rPr>
          <w:rFonts w:asciiTheme="minorHAnsi" w:hAnsiTheme="minorHAnsi" w:cstheme="minorHAnsi"/>
          <w:sz w:val="17"/>
          <w:szCs w:val="17"/>
        </w:rPr>
        <w:t>BP19323</w:t>
      </w:r>
      <w:proofErr w:type="spellEnd"/>
      <w:r w:rsidR="00735C33" w:rsidRPr="001045B7">
        <w:rPr>
          <w:rFonts w:asciiTheme="minorHAnsi" w:hAnsiTheme="minorHAnsi" w:cstheme="minorHAnsi"/>
          <w:sz w:val="17"/>
          <w:szCs w:val="17"/>
        </w:rPr>
        <w:t xml:space="preserve"> </w:t>
      </w:r>
      <w:proofErr w:type="spellStart"/>
      <w:r w:rsidR="00735C33" w:rsidRPr="001045B7">
        <w:rPr>
          <w:rFonts w:asciiTheme="minorHAnsi" w:hAnsiTheme="minorHAnsi" w:cstheme="minorHAnsi"/>
          <w:sz w:val="17"/>
          <w:szCs w:val="17"/>
        </w:rPr>
        <w:t>Bancrea</w:t>
      </w:r>
      <w:proofErr w:type="spellEnd"/>
      <w:r w:rsidR="00735C33" w:rsidRPr="001045B7">
        <w:rPr>
          <w:rFonts w:asciiTheme="minorHAnsi" w:hAnsiTheme="minorHAnsi" w:cstheme="minorHAnsi"/>
          <w:sz w:val="17"/>
          <w:szCs w:val="17"/>
        </w:rPr>
        <w:t xml:space="preserve"> Pensiones y Jubilaciones.</w:t>
      </w:r>
    </w:p>
    <w:p w14:paraId="452D9025" w14:textId="713660B5" w:rsidR="008A0DA2" w:rsidRPr="001045B7" w:rsidRDefault="008A0DA2" w:rsidP="008A0DA2">
      <w:pPr>
        <w:spacing w:line="276" w:lineRule="auto"/>
        <w:jc w:val="both"/>
        <w:rPr>
          <w:rFonts w:asciiTheme="minorHAnsi" w:hAnsiTheme="minorHAnsi" w:cstheme="minorHAnsi"/>
          <w:sz w:val="17"/>
          <w:szCs w:val="17"/>
        </w:rPr>
      </w:pPr>
    </w:p>
    <w:p w14:paraId="5D7F228F" w14:textId="3D92B369" w:rsidR="00AE4AE6" w:rsidRPr="001045B7" w:rsidRDefault="00AE4AE6" w:rsidP="00860054">
      <w:pPr>
        <w:pStyle w:val="Prrafodelista"/>
        <w:spacing w:line="276" w:lineRule="auto"/>
        <w:ind w:left="1416"/>
        <w:jc w:val="both"/>
        <w:rPr>
          <w:rFonts w:asciiTheme="minorHAnsi" w:hAnsiTheme="minorHAnsi" w:cstheme="minorHAnsi"/>
          <w:b/>
          <w:sz w:val="17"/>
          <w:szCs w:val="17"/>
        </w:rPr>
      </w:pPr>
      <w:r w:rsidRPr="001045B7">
        <w:rPr>
          <w:rFonts w:asciiTheme="minorHAnsi" w:hAnsiTheme="minorHAnsi" w:cstheme="minorHAnsi"/>
          <w:b/>
          <w:sz w:val="17"/>
          <w:szCs w:val="17"/>
        </w:rPr>
        <w:t>Otros Pasivos</w:t>
      </w:r>
    </w:p>
    <w:p w14:paraId="3FF9A7D9" w14:textId="7B4D42B8" w:rsidR="008A0DA2" w:rsidRPr="001045B7" w:rsidRDefault="008A0DA2" w:rsidP="00860054">
      <w:pPr>
        <w:pStyle w:val="Prrafodelista"/>
        <w:spacing w:line="276" w:lineRule="auto"/>
        <w:ind w:left="1416"/>
        <w:jc w:val="both"/>
        <w:rPr>
          <w:rFonts w:asciiTheme="minorHAnsi" w:hAnsiTheme="minorHAnsi" w:cstheme="minorHAnsi"/>
          <w:sz w:val="17"/>
          <w:szCs w:val="17"/>
        </w:rPr>
      </w:pPr>
    </w:p>
    <w:p w14:paraId="1E92EF99" w14:textId="43A0E026" w:rsidR="008A0DA2" w:rsidRPr="001045B7" w:rsidRDefault="008A0DA2" w:rsidP="008A0DA2">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el monto del rubro Otros Pasivos a Corto Plazo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3287CE96" w14:textId="77777777" w:rsidR="008A0DA2" w:rsidRPr="001045B7" w:rsidRDefault="008A0DA2" w:rsidP="008A0DA2">
      <w:pPr>
        <w:autoSpaceDE w:val="0"/>
        <w:autoSpaceDN w:val="0"/>
        <w:adjustRightInd w:val="0"/>
        <w:spacing w:before="240"/>
        <w:ind w:left="36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3163"/>
        <w:gridCol w:w="2238"/>
        <w:gridCol w:w="1679"/>
      </w:tblGrid>
      <w:tr w:rsidR="008A0DA2" w:rsidRPr="001045B7" w14:paraId="63EACC4A" w14:textId="77777777" w:rsidTr="00FF1B22">
        <w:trPr>
          <w:trHeight w:val="283"/>
          <w:jc w:val="center"/>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0D205E" w14:textId="77777777" w:rsidR="008A0DA2" w:rsidRPr="001045B7" w:rsidRDefault="008A0DA2"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22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9F81C0" w14:textId="35B2792B"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418727" w14:textId="65F180B9" w:rsidR="008A0DA2"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BC35DC" w:rsidRPr="001045B7" w14:paraId="3E700A9B" w14:textId="77777777" w:rsidTr="00FF1B22">
        <w:trPr>
          <w:trHeight w:val="240"/>
          <w:jc w:val="center"/>
        </w:trPr>
        <w:tc>
          <w:tcPr>
            <w:tcW w:w="3163" w:type="dxa"/>
            <w:tcBorders>
              <w:top w:val="nil"/>
              <w:left w:val="single" w:sz="4" w:space="0" w:color="auto"/>
              <w:bottom w:val="single" w:sz="4" w:space="0" w:color="auto"/>
              <w:right w:val="single" w:sz="4" w:space="0" w:color="auto"/>
            </w:tcBorders>
            <w:shd w:val="clear" w:color="auto" w:fill="auto"/>
          </w:tcPr>
          <w:p w14:paraId="41AC2D04" w14:textId="77777777" w:rsidR="00BC35DC" w:rsidRPr="001045B7" w:rsidRDefault="00BC35DC" w:rsidP="00BC35DC">
            <w:pPr>
              <w:rPr>
                <w:rFonts w:asciiTheme="minorHAnsi" w:hAnsiTheme="minorHAnsi" w:cstheme="minorHAnsi"/>
                <w:sz w:val="17"/>
                <w:szCs w:val="17"/>
              </w:rPr>
            </w:pPr>
            <w:r w:rsidRPr="001045B7">
              <w:rPr>
                <w:rFonts w:asciiTheme="minorHAnsi" w:hAnsiTheme="minorHAnsi" w:cstheme="minorHAnsi"/>
                <w:sz w:val="17"/>
                <w:szCs w:val="17"/>
              </w:rPr>
              <w:t>Ingresos por Clasificar</w:t>
            </w:r>
          </w:p>
        </w:tc>
        <w:tc>
          <w:tcPr>
            <w:tcW w:w="2238" w:type="dxa"/>
            <w:tcBorders>
              <w:top w:val="single" w:sz="4" w:space="0" w:color="auto"/>
              <w:left w:val="nil"/>
              <w:bottom w:val="single" w:sz="4" w:space="0" w:color="auto"/>
              <w:right w:val="single" w:sz="4" w:space="0" w:color="auto"/>
            </w:tcBorders>
            <w:shd w:val="clear" w:color="auto" w:fill="auto"/>
          </w:tcPr>
          <w:p w14:paraId="0547CF25" w14:textId="0CD67FB9"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2,373,174 </w:t>
            </w:r>
          </w:p>
        </w:tc>
        <w:tc>
          <w:tcPr>
            <w:tcW w:w="1679" w:type="dxa"/>
            <w:tcBorders>
              <w:top w:val="nil"/>
              <w:left w:val="single" w:sz="4" w:space="0" w:color="auto"/>
              <w:bottom w:val="single" w:sz="4" w:space="0" w:color="auto"/>
              <w:right w:val="single" w:sz="4" w:space="0" w:color="auto"/>
            </w:tcBorders>
            <w:shd w:val="clear" w:color="auto" w:fill="auto"/>
          </w:tcPr>
          <w:p w14:paraId="2EE26601" w14:textId="28B4EDA3"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C35DC" w:rsidRPr="001045B7" w14:paraId="31E15150" w14:textId="77777777" w:rsidTr="00FF1B22">
        <w:trPr>
          <w:trHeight w:val="240"/>
          <w:jc w:val="center"/>
        </w:trPr>
        <w:tc>
          <w:tcPr>
            <w:tcW w:w="3163" w:type="dxa"/>
            <w:tcBorders>
              <w:top w:val="single" w:sz="4" w:space="0" w:color="auto"/>
              <w:left w:val="single" w:sz="4" w:space="0" w:color="auto"/>
              <w:bottom w:val="single" w:sz="4" w:space="0" w:color="auto"/>
              <w:right w:val="single" w:sz="4" w:space="0" w:color="auto"/>
            </w:tcBorders>
            <w:shd w:val="clear" w:color="auto" w:fill="auto"/>
          </w:tcPr>
          <w:p w14:paraId="6B53B8C5" w14:textId="77777777" w:rsidR="00BC35DC" w:rsidRPr="001045B7" w:rsidRDefault="00BC35DC" w:rsidP="00BC35DC">
            <w:pPr>
              <w:rPr>
                <w:rFonts w:asciiTheme="minorHAnsi" w:hAnsiTheme="minorHAnsi" w:cstheme="minorHAnsi"/>
                <w:sz w:val="17"/>
                <w:szCs w:val="17"/>
              </w:rPr>
            </w:pPr>
            <w:r w:rsidRPr="001045B7">
              <w:rPr>
                <w:rFonts w:asciiTheme="minorHAnsi" w:hAnsiTheme="minorHAnsi" w:cstheme="minorHAnsi"/>
                <w:sz w:val="17"/>
                <w:szCs w:val="17"/>
              </w:rPr>
              <w:t>Recaudación por Participar</w:t>
            </w:r>
          </w:p>
        </w:tc>
        <w:tc>
          <w:tcPr>
            <w:tcW w:w="2238" w:type="dxa"/>
            <w:tcBorders>
              <w:top w:val="single" w:sz="4" w:space="0" w:color="auto"/>
              <w:left w:val="nil"/>
              <w:bottom w:val="single" w:sz="4" w:space="0" w:color="auto"/>
              <w:right w:val="single" w:sz="4" w:space="0" w:color="auto"/>
            </w:tcBorders>
            <w:shd w:val="clear" w:color="auto" w:fill="auto"/>
          </w:tcPr>
          <w:p w14:paraId="05E43CF4" w14:textId="5ADA79E3"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77,552,531 </w:t>
            </w:r>
          </w:p>
        </w:tc>
        <w:tc>
          <w:tcPr>
            <w:tcW w:w="1679" w:type="dxa"/>
            <w:tcBorders>
              <w:top w:val="nil"/>
              <w:left w:val="single" w:sz="4" w:space="0" w:color="auto"/>
              <w:bottom w:val="single" w:sz="4" w:space="0" w:color="auto"/>
              <w:right w:val="single" w:sz="4" w:space="0" w:color="auto"/>
            </w:tcBorders>
            <w:shd w:val="clear" w:color="auto" w:fill="auto"/>
          </w:tcPr>
          <w:p w14:paraId="200318F6" w14:textId="5B246426"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79,903,084 </w:t>
            </w:r>
          </w:p>
        </w:tc>
      </w:tr>
      <w:tr w:rsidR="00BC35DC" w:rsidRPr="001045B7" w14:paraId="318EBFBD" w14:textId="77777777" w:rsidTr="00FF1B22">
        <w:trPr>
          <w:trHeight w:val="240"/>
          <w:jc w:val="center"/>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92987" w14:textId="77777777" w:rsidR="00BC35DC" w:rsidRPr="001045B7" w:rsidRDefault="00BC35DC" w:rsidP="00BC35DC">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AF41E" w14:textId="3D0F95EA" w:rsidR="00BC35DC" w:rsidRPr="001045B7" w:rsidRDefault="00BC35DC" w:rsidP="00BC35D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79,925,705 </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3CEBB" w14:textId="3283588D" w:rsidR="00BC35DC" w:rsidRPr="001045B7" w:rsidRDefault="00BC35DC" w:rsidP="00BC35D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79,903,084 </w:t>
            </w:r>
          </w:p>
        </w:tc>
      </w:tr>
    </w:tbl>
    <w:p w14:paraId="2FDC8EF1" w14:textId="4B5B2FEE" w:rsidR="008A0DA2" w:rsidRPr="001045B7" w:rsidRDefault="008A0DA2" w:rsidP="008A0DA2">
      <w:pPr>
        <w:pStyle w:val="Prrafodelista"/>
        <w:spacing w:line="276" w:lineRule="auto"/>
        <w:ind w:left="0"/>
        <w:jc w:val="both"/>
        <w:rPr>
          <w:rFonts w:asciiTheme="minorHAnsi" w:hAnsiTheme="minorHAnsi" w:cstheme="minorHAnsi"/>
          <w:sz w:val="17"/>
          <w:szCs w:val="17"/>
        </w:rPr>
      </w:pPr>
    </w:p>
    <w:p w14:paraId="6D5BA7A7" w14:textId="3A003FEE" w:rsidR="00F82EBB" w:rsidRPr="001045B7" w:rsidRDefault="008A0DA2" w:rsidP="000E2E09">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La cuenta de Recaudación por Participar, deriva del convenio de Coordinación Administrativa en Materia Fiscal Feder</w:t>
      </w:r>
      <w:r w:rsidR="00F82EBB" w:rsidRPr="001045B7">
        <w:rPr>
          <w:rFonts w:asciiTheme="minorHAnsi" w:hAnsiTheme="minorHAnsi" w:cstheme="minorHAnsi"/>
          <w:sz w:val="17"/>
          <w:szCs w:val="17"/>
        </w:rPr>
        <w:t>a</w:t>
      </w:r>
      <w:r w:rsidR="00640E90" w:rsidRPr="001045B7">
        <w:rPr>
          <w:rFonts w:asciiTheme="minorHAnsi" w:hAnsiTheme="minorHAnsi" w:cstheme="minorHAnsi"/>
          <w:sz w:val="17"/>
          <w:szCs w:val="17"/>
        </w:rPr>
        <w:t>l.</w:t>
      </w:r>
    </w:p>
    <w:p w14:paraId="5B607294" w14:textId="7EE0C2CB" w:rsidR="00F82EBB" w:rsidRPr="001045B7" w:rsidRDefault="00F82EBB" w:rsidP="000E2E09">
      <w:pPr>
        <w:pStyle w:val="Prrafodelista"/>
        <w:spacing w:line="276" w:lineRule="auto"/>
        <w:ind w:left="0"/>
        <w:jc w:val="both"/>
        <w:rPr>
          <w:rFonts w:asciiTheme="minorHAnsi" w:hAnsiTheme="minorHAnsi" w:cstheme="minorHAnsi"/>
          <w:sz w:val="17"/>
          <w:szCs w:val="17"/>
        </w:rPr>
      </w:pPr>
    </w:p>
    <w:p w14:paraId="0F9DEE32" w14:textId="67C84596" w:rsidR="00F82EBB" w:rsidRPr="001045B7" w:rsidRDefault="00F82EBB" w:rsidP="000E2E09">
      <w:pPr>
        <w:pStyle w:val="Prrafodelista"/>
        <w:spacing w:line="276" w:lineRule="auto"/>
        <w:ind w:left="0"/>
        <w:jc w:val="both"/>
        <w:rPr>
          <w:rFonts w:asciiTheme="minorHAnsi" w:hAnsiTheme="minorHAnsi" w:cstheme="minorHAnsi"/>
          <w:sz w:val="17"/>
          <w:szCs w:val="17"/>
        </w:rPr>
      </w:pPr>
    </w:p>
    <w:p w14:paraId="2633B60C" w14:textId="6445158D" w:rsidR="00F82EBB" w:rsidRPr="001045B7" w:rsidRDefault="00F82EBB" w:rsidP="000E2E09">
      <w:pPr>
        <w:pStyle w:val="Prrafodelista"/>
        <w:spacing w:line="276" w:lineRule="auto"/>
        <w:ind w:left="0"/>
        <w:jc w:val="both"/>
        <w:rPr>
          <w:rFonts w:asciiTheme="minorHAnsi" w:hAnsiTheme="minorHAnsi" w:cstheme="minorHAnsi"/>
          <w:sz w:val="17"/>
          <w:szCs w:val="17"/>
        </w:rPr>
      </w:pPr>
    </w:p>
    <w:p w14:paraId="15C8A2C9" w14:textId="77777777" w:rsidR="00F82EBB" w:rsidRPr="001045B7" w:rsidRDefault="00F82EBB" w:rsidP="000E2E09">
      <w:pPr>
        <w:pStyle w:val="Prrafodelista"/>
        <w:spacing w:line="276" w:lineRule="auto"/>
        <w:ind w:left="0"/>
        <w:jc w:val="both"/>
        <w:rPr>
          <w:rFonts w:asciiTheme="minorHAnsi" w:hAnsiTheme="minorHAnsi" w:cstheme="minorHAnsi"/>
          <w:sz w:val="17"/>
          <w:szCs w:val="17"/>
        </w:rPr>
      </w:pPr>
    </w:p>
    <w:p w14:paraId="1B7DECF5" w14:textId="350EB0ED" w:rsidR="00AE4AE6" w:rsidRPr="001045B7" w:rsidRDefault="00AE4AE6" w:rsidP="00860054">
      <w:pPr>
        <w:pStyle w:val="Prrafodelista"/>
        <w:numPr>
          <w:ilvl w:val="0"/>
          <w:numId w:val="35"/>
        </w:numPr>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NOTAS AL ESTADO DE VARIACIÓN EN LA HACIENDA PÚBLICA</w:t>
      </w:r>
    </w:p>
    <w:p w14:paraId="0FA636DD" w14:textId="5BFD0AEC" w:rsidR="00731906" w:rsidRPr="001045B7" w:rsidRDefault="00731906" w:rsidP="00731906">
      <w:pPr>
        <w:pStyle w:val="Prrafodelista"/>
        <w:spacing w:line="276" w:lineRule="auto"/>
        <w:jc w:val="both"/>
        <w:rPr>
          <w:rFonts w:asciiTheme="minorHAnsi" w:hAnsiTheme="minorHAnsi" w:cstheme="minorHAnsi"/>
          <w:b/>
          <w:sz w:val="17"/>
          <w:szCs w:val="17"/>
        </w:rPr>
      </w:pPr>
    </w:p>
    <w:p w14:paraId="4628DD1E" w14:textId="77777777" w:rsidR="00E00021" w:rsidRPr="001045B7" w:rsidRDefault="00E00021" w:rsidP="00731906">
      <w:pPr>
        <w:pStyle w:val="Prrafodelista"/>
        <w:spacing w:line="276" w:lineRule="auto"/>
        <w:ind w:left="0"/>
        <w:jc w:val="both"/>
        <w:rPr>
          <w:rFonts w:asciiTheme="minorHAnsi" w:hAnsiTheme="minorHAnsi" w:cstheme="minorHAnsi"/>
          <w:sz w:val="17"/>
          <w:szCs w:val="17"/>
        </w:rPr>
      </w:pPr>
    </w:p>
    <w:p w14:paraId="13BA7BF5" w14:textId="30D20380" w:rsidR="00731906" w:rsidRPr="001045B7" w:rsidRDefault="00731906" w:rsidP="0073190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Se informa de manera agrupada, acerca de las modificaciones a la Hacienda Pública contribuida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684906CE" w14:textId="77777777" w:rsidR="00731906" w:rsidRPr="001045B7" w:rsidRDefault="00731906" w:rsidP="00731906">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(Pesos)</w:t>
      </w:r>
    </w:p>
    <w:tbl>
      <w:tblPr>
        <w:tblW w:w="6804" w:type="dxa"/>
        <w:tblInd w:w="2838" w:type="dxa"/>
        <w:tblLayout w:type="fixed"/>
        <w:tblCellMar>
          <w:left w:w="70" w:type="dxa"/>
          <w:right w:w="70" w:type="dxa"/>
        </w:tblCellMar>
        <w:tblLook w:val="04A0" w:firstRow="1" w:lastRow="0" w:firstColumn="1" w:lastColumn="0" w:noHBand="0" w:noVBand="1"/>
      </w:tblPr>
      <w:tblGrid>
        <w:gridCol w:w="2977"/>
        <w:gridCol w:w="1701"/>
        <w:gridCol w:w="2126"/>
      </w:tblGrid>
      <w:tr w:rsidR="00731906" w:rsidRPr="001045B7" w14:paraId="569F7055" w14:textId="77777777" w:rsidTr="00AF6204">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96EADF" w14:textId="77777777" w:rsidR="00731906" w:rsidRPr="001045B7" w:rsidRDefault="0073190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3CBD4547" w14:textId="4B6B3C81"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44178D95" w14:textId="562B747A"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BC35DC" w:rsidRPr="001045B7" w14:paraId="526E504A" w14:textId="77777777" w:rsidTr="00572E7D">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DA5599A" w14:textId="77777777"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Hacienda Pública/Patrimonio</w:t>
            </w:r>
          </w:p>
        </w:tc>
        <w:tc>
          <w:tcPr>
            <w:tcW w:w="1701" w:type="dxa"/>
            <w:tcBorders>
              <w:top w:val="nil"/>
              <w:left w:val="nil"/>
              <w:bottom w:val="single" w:sz="4" w:space="0" w:color="auto"/>
              <w:right w:val="single" w:sz="4" w:space="0" w:color="auto"/>
            </w:tcBorders>
            <w:shd w:val="clear" w:color="auto" w:fill="auto"/>
            <w:hideMark/>
          </w:tcPr>
          <w:p w14:paraId="0B6B31EE" w14:textId="63939BF2" w:rsidR="00BC35DC" w:rsidRPr="001045B7" w:rsidRDefault="00982F6F" w:rsidP="00BC35DC">
            <w:pPr>
              <w:jc w:val="right"/>
              <w:rPr>
                <w:rFonts w:asciiTheme="minorHAnsi" w:hAnsiTheme="minorHAnsi" w:cstheme="minorHAnsi"/>
                <w:color w:val="000000"/>
                <w:sz w:val="17"/>
                <w:szCs w:val="17"/>
              </w:rPr>
            </w:pPr>
            <w:r w:rsidRPr="001045B7">
              <w:rPr>
                <w:rFonts w:asciiTheme="minorHAnsi" w:hAnsiTheme="minorHAnsi" w:cstheme="minorHAnsi"/>
                <w:sz w:val="17"/>
                <w:szCs w:val="17"/>
              </w:rPr>
              <w:t>73,672,516,246</w:t>
            </w:r>
          </w:p>
        </w:tc>
        <w:tc>
          <w:tcPr>
            <w:tcW w:w="2126" w:type="dxa"/>
            <w:tcBorders>
              <w:top w:val="nil"/>
              <w:left w:val="nil"/>
              <w:bottom w:val="single" w:sz="4" w:space="0" w:color="auto"/>
              <w:right w:val="single" w:sz="4" w:space="0" w:color="auto"/>
            </w:tcBorders>
            <w:shd w:val="clear" w:color="auto" w:fill="auto"/>
            <w:hideMark/>
          </w:tcPr>
          <w:p w14:paraId="2A6727CB" w14:textId="3FAFF681" w:rsidR="00BC35DC" w:rsidRPr="001045B7" w:rsidRDefault="00BC35DC" w:rsidP="00BC35DC">
            <w:pPr>
              <w:jc w:val="right"/>
              <w:rPr>
                <w:rFonts w:asciiTheme="minorHAnsi" w:hAnsiTheme="minorHAnsi" w:cstheme="minorHAnsi"/>
                <w:color w:val="000000"/>
                <w:sz w:val="17"/>
                <w:szCs w:val="17"/>
              </w:rPr>
            </w:pPr>
            <w:r w:rsidRPr="001045B7">
              <w:rPr>
                <w:rFonts w:asciiTheme="minorHAnsi" w:hAnsiTheme="minorHAnsi" w:cstheme="minorHAnsi"/>
                <w:sz w:val="17"/>
                <w:szCs w:val="17"/>
              </w:rPr>
              <w:t xml:space="preserve"> 69,352,255,026 </w:t>
            </w:r>
          </w:p>
        </w:tc>
      </w:tr>
    </w:tbl>
    <w:p w14:paraId="5FC28265" w14:textId="55F1B40A" w:rsidR="00731906" w:rsidRPr="001045B7" w:rsidRDefault="00731906" w:rsidP="00731906">
      <w:pPr>
        <w:pStyle w:val="Prrafodelista"/>
        <w:spacing w:line="276" w:lineRule="auto"/>
        <w:ind w:left="0"/>
        <w:jc w:val="both"/>
        <w:rPr>
          <w:rFonts w:asciiTheme="minorHAnsi" w:hAnsiTheme="minorHAnsi" w:cstheme="minorHAnsi"/>
          <w:b/>
          <w:sz w:val="17"/>
          <w:szCs w:val="17"/>
        </w:rPr>
      </w:pPr>
    </w:p>
    <w:p w14:paraId="0797AA80" w14:textId="557DF8F9" w:rsidR="00731906" w:rsidRPr="001045B7" w:rsidRDefault="00731906" w:rsidP="00731906">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 xml:space="preserve">La Variación en la Hacienda Pública /Patrimonio se debe principalmente del resultado del ejercicio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Pr="001045B7">
        <w:rPr>
          <w:rFonts w:asciiTheme="minorHAnsi" w:hAnsiTheme="minorHAnsi" w:cstheme="minorHAnsi"/>
          <w:sz w:val="17"/>
          <w:szCs w:val="17"/>
        </w:rPr>
        <w:t xml:space="preserve"> del </w:t>
      </w:r>
      <w:r w:rsidR="008E7DE6" w:rsidRPr="001045B7">
        <w:rPr>
          <w:rFonts w:asciiTheme="minorHAnsi" w:hAnsiTheme="minorHAnsi" w:cstheme="minorHAnsi"/>
          <w:sz w:val="17"/>
          <w:szCs w:val="17"/>
        </w:rPr>
        <w:t>2024</w:t>
      </w:r>
      <w:r w:rsidRPr="001045B7">
        <w:rPr>
          <w:rFonts w:asciiTheme="minorHAnsi" w:hAnsiTheme="minorHAnsi" w:cstheme="minorHAnsi"/>
          <w:sz w:val="17"/>
          <w:szCs w:val="17"/>
        </w:rPr>
        <w:t xml:space="preserve"> </w:t>
      </w:r>
      <w:r w:rsidR="008E7DE6" w:rsidRPr="001045B7">
        <w:rPr>
          <w:rFonts w:asciiTheme="minorHAnsi" w:hAnsiTheme="minorHAnsi" w:cstheme="minorHAnsi"/>
          <w:sz w:val="17"/>
          <w:szCs w:val="17"/>
        </w:rPr>
        <w:t>(dos mil veinticuatro)</w:t>
      </w:r>
      <w:r w:rsidRPr="001045B7">
        <w:rPr>
          <w:rFonts w:asciiTheme="minorHAnsi" w:hAnsiTheme="minorHAnsi" w:cstheme="minorHAnsi"/>
          <w:sz w:val="17"/>
          <w:szCs w:val="17"/>
        </w:rPr>
        <w:t>.</w:t>
      </w:r>
    </w:p>
    <w:p w14:paraId="6074B090" w14:textId="77777777" w:rsidR="00731906" w:rsidRPr="001045B7" w:rsidRDefault="00731906" w:rsidP="00731906">
      <w:pPr>
        <w:pStyle w:val="Prrafodelista"/>
        <w:spacing w:line="276" w:lineRule="auto"/>
        <w:ind w:left="0"/>
        <w:jc w:val="both"/>
        <w:rPr>
          <w:rFonts w:asciiTheme="minorHAnsi" w:hAnsiTheme="minorHAnsi" w:cstheme="minorHAnsi"/>
          <w:sz w:val="17"/>
          <w:szCs w:val="17"/>
        </w:rPr>
      </w:pPr>
    </w:p>
    <w:p w14:paraId="3009E3DE" w14:textId="353CA7D2" w:rsidR="00016125" w:rsidRPr="001045B7" w:rsidRDefault="00016125" w:rsidP="00016125">
      <w:pPr>
        <w:pStyle w:val="Prrafodelista"/>
        <w:spacing w:line="276" w:lineRule="auto"/>
        <w:ind w:left="0"/>
        <w:jc w:val="both"/>
        <w:rPr>
          <w:rFonts w:asciiTheme="minorHAnsi" w:hAnsiTheme="minorHAnsi" w:cstheme="minorHAnsi"/>
          <w:sz w:val="17"/>
          <w:szCs w:val="17"/>
        </w:rPr>
      </w:pPr>
      <w:r w:rsidRPr="001045B7">
        <w:rPr>
          <w:rFonts w:asciiTheme="minorHAnsi" w:hAnsiTheme="minorHAnsi" w:cstheme="minorHAnsi"/>
          <w:sz w:val="17"/>
          <w:szCs w:val="17"/>
        </w:rPr>
        <w:t>Se informa de manera agrupada, acerca de las modificaciones a la Hacienda Pública contribuida.</w:t>
      </w:r>
    </w:p>
    <w:p w14:paraId="067789E1" w14:textId="77777777" w:rsidR="00016125" w:rsidRPr="001045B7" w:rsidRDefault="00016125" w:rsidP="00016125">
      <w:pPr>
        <w:pStyle w:val="Prrafodelista"/>
        <w:spacing w:line="276" w:lineRule="auto"/>
        <w:ind w:left="0"/>
        <w:jc w:val="both"/>
        <w:rPr>
          <w:rFonts w:asciiTheme="minorHAnsi" w:hAnsiTheme="minorHAnsi" w:cstheme="minorHAnsi"/>
          <w:sz w:val="17"/>
          <w:szCs w:val="17"/>
        </w:rPr>
      </w:pPr>
    </w:p>
    <w:p w14:paraId="1BAA79BB" w14:textId="0C37FCBB" w:rsidR="00837818" w:rsidRPr="001045B7" w:rsidRDefault="00C001D9" w:rsidP="00A97612">
      <w:pPr>
        <w:pStyle w:val="Prrafodelista"/>
        <w:numPr>
          <w:ilvl w:val="0"/>
          <w:numId w:val="36"/>
        </w:numPr>
        <w:spacing w:line="276" w:lineRule="auto"/>
        <w:jc w:val="both"/>
        <w:rPr>
          <w:rFonts w:asciiTheme="minorHAnsi" w:hAnsiTheme="minorHAnsi" w:cstheme="minorHAnsi"/>
          <w:sz w:val="17"/>
          <w:szCs w:val="17"/>
        </w:rPr>
      </w:pPr>
      <w:r>
        <w:rPr>
          <w:rFonts w:asciiTheme="minorHAnsi" w:hAnsiTheme="minorHAnsi" w:cstheme="minorHAnsi"/>
          <w:sz w:val="17"/>
          <w:szCs w:val="17"/>
        </w:rPr>
        <w:t>Cancelación de</w:t>
      </w:r>
      <w:r w:rsidR="00837818" w:rsidRPr="001045B7">
        <w:rPr>
          <w:rFonts w:asciiTheme="minorHAnsi" w:hAnsiTheme="minorHAnsi" w:cstheme="minorHAnsi"/>
          <w:sz w:val="17"/>
          <w:szCs w:val="17"/>
        </w:rPr>
        <w:t xml:space="preserve"> la carta de crédito </w:t>
      </w:r>
      <w:proofErr w:type="spellStart"/>
      <w:r w:rsidR="00837818" w:rsidRPr="001045B7">
        <w:rPr>
          <w:rFonts w:asciiTheme="minorHAnsi" w:hAnsiTheme="minorHAnsi" w:cstheme="minorHAnsi"/>
          <w:sz w:val="17"/>
          <w:szCs w:val="17"/>
        </w:rPr>
        <w:t>StanBy</w:t>
      </w:r>
      <w:proofErr w:type="spellEnd"/>
      <w:r w:rsidR="00837818" w:rsidRPr="001045B7">
        <w:rPr>
          <w:rFonts w:asciiTheme="minorHAnsi" w:hAnsiTheme="minorHAnsi" w:cstheme="minorHAnsi"/>
          <w:sz w:val="17"/>
          <w:szCs w:val="17"/>
        </w:rPr>
        <w:t xml:space="preserve">, del proyecto presentando ante </w:t>
      </w:r>
      <w:proofErr w:type="spellStart"/>
      <w:r w:rsidR="00837818" w:rsidRPr="001045B7">
        <w:rPr>
          <w:rFonts w:asciiTheme="minorHAnsi" w:hAnsiTheme="minorHAnsi" w:cstheme="minorHAnsi"/>
          <w:sz w:val="17"/>
          <w:szCs w:val="17"/>
        </w:rPr>
        <w:t>CENACE</w:t>
      </w:r>
      <w:proofErr w:type="spellEnd"/>
      <w:r w:rsidR="00837818" w:rsidRPr="001045B7">
        <w:rPr>
          <w:rFonts w:asciiTheme="minorHAnsi" w:hAnsiTheme="minorHAnsi" w:cstheme="minorHAnsi"/>
          <w:sz w:val="17"/>
          <w:szCs w:val="17"/>
        </w:rPr>
        <w:t>, a través de la Agencia de Energía del Estado de Querétaro por un importe de 2,309,701,159 (dos mil trescientos nueve millones setecientos un mil ciento cincuenta y nueve).</w:t>
      </w:r>
    </w:p>
    <w:p w14:paraId="3E2844BC" w14:textId="77777777" w:rsidR="00384F4F" w:rsidRPr="001045B7" w:rsidRDefault="00384F4F" w:rsidP="00384F4F">
      <w:pPr>
        <w:pStyle w:val="Prrafodelista"/>
        <w:spacing w:line="276" w:lineRule="auto"/>
        <w:ind w:left="1065"/>
        <w:jc w:val="both"/>
        <w:rPr>
          <w:rFonts w:asciiTheme="minorHAnsi" w:hAnsiTheme="minorHAnsi" w:cstheme="minorHAnsi"/>
          <w:sz w:val="17"/>
          <w:szCs w:val="17"/>
        </w:rPr>
      </w:pPr>
    </w:p>
    <w:p w14:paraId="49502616" w14:textId="05BB0251" w:rsidR="00384F4F" w:rsidRPr="001045B7" w:rsidRDefault="00384F4F" w:rsidP="00384F4F">
      <w:pPr>
        <w:pStyle w:val="Prrafodelista"/>
        <w:numPr>
          <w:ilvl w:val="0"/>
          <w:numId w:val="36"/>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Bajas del activo principalmente la correspondiente al inmueble ubicado en el fraccionamiento Ejido el Paraíso en el Municipio del Marqués por un importe de 165,087,908 (ciento sesenta y cinco millones ochenta y siete mil novecientos ocho).</w:t>
      </w:r>
    </w:p>
    <w:p w14:paraId="42787E50" w14:textId="4FC1E394" w:rsidR="00384F4F" w:rsidRPr="001045B7" w:rsidRDefault="00384F4F" w:rsidP="00384F4F">
      <w:pPr>
        <w:spacing w:line="276" w:lineRule="auto"/>
        <w:jc w:val="both"/>
        <w:rPr>
          <w:rFonts w:asciiTheme="minorHAnsi" w:hAnsiTheme="minorHAnsi" w:cstheme="minorHAnsi"/>
          <w:sz w:val="17"/>
          <w:szCs w:val="17"/>
        </w:rPr>
      </w:pPr>
    </w:p>
    <w:p w14:paraId="22D1E9CB" w14:textId="157A235E" w:rsidR="00384F4F" w:rsidRPr="001045B7" w:rsidRDefault="00384F4F" w:rsidP="00384F4F">
      <w:pPr>
        <w:pStyle w:val="Prrafodelista"/>
        <w:numPr>
          <w:ilvl w:val="0"/>
          <w:numId w:val="36"/>
        </w:num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Depuración de obras en proceso por un importe de </w:t>
      </w:r>
      <w:r w:rsidR="00E113D6" w:rsidRPr="001045B7">
        <w:rPr>
          <w:rFonts w:asciiTheme="minorHAnsi" w:hAnsiTheme="minorHAnsi" w:cstheme="minorHAnsi"/>
          <w:sz w:val="17"/>
          <w:szCs w:val="17"/>
        </w:rPr>
        <w:t>190,313,878 (ciento noventa millones trescientos trece mil ochocientos setenta y ocho)</w:t>
      </w:r>
      <w:r w:rsidRPr="001045B7">
        <w:rPr>
          <w:rFonts w:asciiTheme="minorHAnsi" w:hAnsiTheme="minorHAnsi" w:cstheme="minorHAnsi"/>
          <w:sz w:val="17"/>
          <w:szCs w:val="17"/>
        </w:rPr>
        <w:t>.</w:t>
      </w:r>
    </w:p>
    <w:p w14:paraId="0C71F099" w14:textId="5C6B3E33" w:rsidR="00F82EBB" w:rsidRPr="001045B7" w:rsidRDefault="00F82EBB" w:rsidP="00731906">
      <w:pPr>
        <w:pStyle w:val="Prrafodelista"/>
        <w:spacing w:line="276" w:lineRule="auto"/>
        <w:ind w:left="0"/>
        <w:jc w:val="both"/>
        <w:rPr>
          <w:rFonts w:asciiTheme="minorHAnsi" w:hAnsiTheme="minorHAnsi" w:cstheme="minorHAnsi"/>
          <w:b/>
          <w:sz w:val="17"/>
          <w:szCs w:val="17"/>
        </w:rPr>
      </w:pPr>
    </w:p>
    <w:p w14:paraId="5862B482" w14:textId="77777777" w:rsidR="00F82EBB" w:rsidRPr="001045B7" w:rsidRDefault="00F82EBB" w:rsidP="00731906">
      <w:pPr>
        <w:pStyle w:val="Prrafodelista"/>
        <w:spacing w:line="276" w:lineRule="auto"/>
        <w:ind w:left="0"/>
        <w:jc w:val="both"/>
        <w:rPr>
          <w:rFonts w:asciiTheme="minorHAnsi" w:hAnsiTheme="minorHAnsi" w:cstheme="minorHAnsi"/>
          <w:b/>
          <w:sz w:val="17"/>
          <w:szCs w:val="17"/>
        </w:rPr>
      </w:pPr>
    </w:p>
    <w:p w14:paraId="2EC71829" w14:textId="6DF501AB" w:rsidR="00AE4AE6" w:rsidRPr="001045B7" w:rsidRDefault="00AE4AE6" w:rsidP="00C47544">
      <w:pPr>
        <w:pStyle w:val="Prrafodelista"/>
        <w:numPr>
          <w:ilvl w:val="0"/>
          <w:numId w:val="35"/>
        </w:numPr>
        <w:spacing w:line="276" w:lineRule="auto"/>
        <w:ind w:left="1416" w:hanging="1056"/>
        <w:jc w:val="both"/>
        <w:rPr>
          <w:rFonts w:asciiTheme="minorHAnsi" w:hAnsiTheme="minorHAnsi" w:cstheme="minorHAnsi"/>
          <w:b/>
          <w:sz w:val="17"/>
          <w:szCs w:val="17"/>
        </w:rPr>
      </w:pPr>
      <w:r w:rsidRPr="001045B7">
        <w:rPr>
          <w:rFonts w:asciiTheme="minorHAnsi" w:hAnsiTheme="minorHAnsi" w:cstheme="minorHAnsi"/>
          <w:b/>
          <w:sz w:val="17"/>
          <w:szCs w:val="17"/>
        </w:rPr>
        <w:t>NOTAS AL ESTADO DE FLUJOS DE EFECTIVO</w:t>
      </w:r>
    </w:p>
    <w:p w14:paraId="376C4C62" w14:textId="16105F51" w:rsidR="00E00021" w:rsidRPr="001045B7" w:rsidRDefault="00E00021" w:rsidP="00731906">
      <w:pPr>
        <w:spacing w:line="276" w:lineRule="auto"/>
        <w:jc w:val="both"/>
        <w:rPr>
          <w:rFonts w:asciiTheme="minorHAnsi" w:hAnsiTheme="minorHAnsi" w:cstheme="minorHAnsi"/>
          <w:sz w:val="17"/>
          <w:szCs w:val="17"/>
        </w:rPr>
      </w:pPr>
    </w:p>
    <w:p w14:paraId="2C1CF5B2" w14:textId="6510251A" w:rsidR="00731906" w:rsidRPr="001045B7" w:rsidRDefault="00731906" w:rsidP="00731906">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Efectivo y equivalentes</w:t>
      </w:r>
    </w:p>
    <w:p w14:paraId="0EF1ED8D" w14:textId="32ED4C66" w:rsidR="00731906" w:rsidRPr="001045B7" w:rsidRDefault="00731906" w:rsidP="00731906">
      <w:pPr>
        <w:spacing w:line="276" w:lineRule="auto"/>
        <w:jc w:val="both"/>
        <w:rPr>
          <w:rFonts w:asciiTheme="minorHAnsi" w:hAnsiTheme="minorHAnsi" w:cstheme="minorHAnsi"/>
          <w:sz w:val="17"/>
          <w:szCs w:val="17"/>
        </w:rPr>
      </w:pPr>
    </w:p>
    <w:p w14:paraId="31F51628" w14:textId="682298F9" w:rsidR="00731906" w:rsidRPr="001045B7" w:rsidRDefault="00731906" w:rsidP="00731906">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El análisis de los saldos inicial y final que figuran en la última parte del Estado de Flujo de Efectivo en la cuenta de efectiv</w:t>
      </w:r>
      <w:r w:rsidR="00640E90" w:rsidRPr="001045B7">
        <w:rPr>
          <w:rFonts w:asciiTheme="minorHAnsi" w:hAnsiTheme="minorHAnsi" w:cstheme="minorHAnsi"/>
          <w:sz w:val="17"/>
          <w:szCs w:val="17"/>
        </w:rPr>
        <w:t>o y equivalentes es como sigue:</w:t>
      </w:r>
    </w:p>
    <w:p w14:paraId="2568DCC7" w14:textId="77777777" w:rsidR="00731906" w:rsidRPr="001045B7" w:rsidRDefault="00731906" w:rsidP="00731906">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731906" w:rsidRPr="001045B7" w14:paraId="183178D2" w14:textId="77777777" w:rsidTr="00F653E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EA7657" w14:textId="77777777" w:rsidR="00731906" w:rsidRPr="001045B7" w:rsidRDefault="0073190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CABC5A" w14:textId="0FD7C717"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A88CE1" w14:textId="5E94D487" w:rsidR="00731906"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BC35DC" w:rsidRPr="001045B7" w14:paraId="05CFD215"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3CF4C51D" w14:textId="77777777"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14:paraId="153AC58D" w14:textId="3B929AFF"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102,200 </w:t>
            </w:r>
          </w:p>
        </w:tc>
        <w:tc>
          <w:tcPr>
            <w:tcW w:w="2180" w:type="dxa"/>
            <w:tcBorders>
              <w:top w:val="nil"/>
              <w:left w:val="nil"/>
              <w:bottom w:val="single" w:sz="4" w:space="0" w:color="auto"/>
              <w:right w:val="single" w:sz="4" w:space="0" w:color="auto"/>
            </w:tcBorders>
            <w:shd w:val="clear" w:color="000000" w:fill="FFFFFF"/>
          </w:tcPr>
          <w:p w14:paraId="0AB967CD" w14:textId="779F8216"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435,670 </w:t>
            </w:r>
          </w:p>
        </w:tc>
      </w:tr>
      <w:tr w:rsidR="00BC35DC" w:rsidRPr="001045B7" w14:paraId="6F87E12C"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0BB225C" w14:textId="75BBCBAE"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Bancos/Tesorería</w:t>
            </w:r>
          </w:p>
        </w:tc>
        <w:tc>
          <w:tcPr>
            <w:tcW w:w="2180" w:type="dxa"/>
            <w:tcBorders>
              <w:top w:val="nil"/>
              <w:left w:val="nil"/>
              <w:bottom w:val="single" w:sz="4" w:space="0" w:color="auto"/>
              <w:right w:val="single" w:sz="4" w:space="0" w:color="auto"/>
            </w:tcBorders>
            <w:shd w:val="clear" w:color="000000" w:fill="FFFFFF"/>
          </w:tcPr>
          <w:p w14:paraId="7621D5C5" w14:textId="06C188F7"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5,387,643,499 </w:t>
            </w:r>
          </w:p>
        </w:tc>
        <w:tc>
          <w:tcPr>
            <w:tcW w:w="2180" w:type="dxa"/>
            <w:tcBorders>
              <w:top w:val="nil"/>
              <w:left w:val="nil"/>
              <w:bottom w:val="single" w:sz="4" w:space="0" w:color="auto"/>
              <w:right w:val="single" w:sz="4" w:space="0" w:color="auto"/>
            </w:tcBorders>
            <w:shd w:val="clear" w:color="000000" w:fill="FFFFFF"/>
          </w:tcPr>
          <w:p w14:paraId="0B12E92C" w14:textId="0245C17A"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5,489,252,181 </w:t>
            </w:r>
          </w:p>
        </w:tc>
      </w:tr>
      <w:tr w:rsidR="00BC35DC" w:rsidRPr="001045B7" w14:paraId="4E304D8A"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AD64AEC" w14:textId="677C339B"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Bancos/Dependencias y Otros</w:t>
            </w:r>
          </w:p>
        </w:tc>
        <w:tc>
          <w:tcPr>
            <w:tcW w:w="2180" w:type="dxa"/>
            <w:tcBorders>
              <w:top w:val="nil"/>
              <w:left w:val="nil"/>
              <w:bottom w:val="single" w:sz="4" w:space="0" w:color="auto"/>
              <w:right w:val="single" w:sz="4" w:space="0" w:color="auto"/>
            </w:tcBorders>
            <w:shd w:val="clear" w:color="000000" w:fill="FFFFFF"/>
          </w:tcPr>
          <w:p w14:paraId="1A0515FB" w14:textId="552F8473"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6,182,189 </w:t>
            </w:r>
          </w:p>
        </w:tc>
        <w:tc>
          <w:tcPr>
            <w:tcW w:w="2180" w:type="dxa"/>
            <w:tcBorders>
              <w:top w:val="nil"/>
              <w:left w:val="nil"/>
              <w:bottom w:val="single" w:sz="4" w:space="0" w:color="auto"/>
              <w:right w:val="single" w:sz="4" w:space="0" w:color="auto"/>
            </w:tcBorders>
            <w:shd w:val="clear" w:color="000000" w:fill="FFFFFF"/>
          </w:tcPr>
          <w:p w14:paraId="5028F448" w14:textId="5DB6924B"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6,679,498 </w:t>
            </w:r>
          </w:p>
        </w:tc>
      </w:tr>
      <w:tr w:rsidR="00BC35DC" w:rsidRPr="001045B7" w14:paraId="3494F057"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E1B89BD" w14:textId="77777777"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14:paraId="717FF2FF" w14:textId="56FD6561"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549A0A96" w14:textId="446D2492"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C35DC" w:rsidRPr="001045B7" w14:paraId="57EA4F92"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50D4F6E5" w14:textId="5D2E0CF8"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Fondos con Afectación Específica</w:t>
            </w:r>
          </w:p>
        </w:tc>
        <w:tc>
          <w:tcPr>
            <w:tcW w:w="2180" w:type="dxa"/>
            <w:tcBorders>
              <w:top w:val="nil"/>
              <w:left w:val="nil"/>
              <w:bottom w:val="single" w:sz="4" w:space="0" w:color="auto"/>
              <w:right w:val="single" w:sz="4" w:space="0" w:color="auto"/>
            </w:tcBorders>
            <w:shd w:val="clear" w:color="000000" w:fill="FFFFFF"/>
          </w:tcPr>
          <w:p w14:paraId="15109F5D" w14:textId="46996BD3"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39BE630A" w14:textId="1D45FA88"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C35DC" w:rsidRPr="001045B7" w14:paraId="0116980F"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2FB852E" w14:textId="7B13C22A"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Depósitos de Fondos de Terceros en Garantía y/o Administración</w:t>
            </w:r>
          </w:p>
        </w:tc>
        <w:tc>
          <w:tcPr>
            <w:tcW w:w="2180" w:type="dxa"/>
            <w:tcBorders>
              <w:top w:val="nil"/>
              <w:left w:val="nil"/>
              <w:bottom w:val="single" w:sz="4" w:space="0" w:color="auto"/>
              <w:right w:val="single" w:sz="4" w:space="0" w:color="auto"/>
            </w:tcBorders>
            <w:shd w:val="clear" w:color="000000" w:fill="FFFFFF"/>
          </w:tcPr>
          <w:p w14:paraId="16311A31" w14:textId="0D3DA04A"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74C69387" w14:textId="4217BC3F"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C35DC" w:rsidRPr="001045B7" w14:paraId="6E07CF5D" w14:textId="77777777" w:rsidTr="00F653E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AD42E38" w14:textId="77777777" w:rsidR="00BC35DC" w:rsidRPr="001045B7" w:rsidRDefault="00BC35DC" w:rsidP="00BC35DC">
            <w:pPr>
              <w:rPr>
                <w:rFonts w:asciiTheme="minorHAnsi" w:hAnsiTheme="minorHAnsi" w:cstheme="minorHAnsi"/>
                <w:color w:val="000000"/>
                <w:sz w:val="17"/>
                <w:szCs w:val="17"/>
              </w:rPr>
            </w:pPr>
            <w:r w:rsidRPr="001045B7">
              <w:rPr>
                <w:rFonts w:asciiTheme="minorHAnsi" w:hAnsiTheme="minorHAnsi" w:cstheme="minorHAnsi"/>
                <w:color w:val="000000"/>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14:paraId="18FE1215" w14:textId="6DF742E6"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6608789B" w14:textId="2400DE7D" w:rsidR="00BC35DC" w:rsidRPr="001045B7" w:rsidRDefault="00BC35DC" w:rsidP="00BC35DC">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BC35DC" w:rsidRPr="001045B7" w14:paraId="5DE68B26" w14:textId="77777777" w:rsidTr="00F653EF">
        <w:trPr>
          <w:trHeight w:val="58"/>
          <w:jc w:val="center"/>
        </w:trPr>
        <w:tc>
          <w:tcPr>
            <w:tcW w:w="4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AB02B2" w14:textId="58704F5D" w:rsidR="00BC35DC" w:rsidRPr="001045B7" w:rsidRDefault="00BC35DC" w:rsidP="00BC35DC">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180" w:type="dxa"/>
            <w:tcBorders>
              <w:top w:val="nil"/>
              <w:left w:val="nil"/>
              <w:bottom w:val="single" w:sz="4" w:space="0" w:color="auto"/>
              <w:right w:val="single" w:sz="4" w:space="0" w:color="auto"/>
            </w:tcBorders>
            <w:shd w:val="clear" w:color="auto" w:fill="BFBFBF" w:themeFill="background1" w:themeFillShade="BF"/>
          </w:tcPr>
          <w:p w14:paraId="07932D53" w14:textId="2EEBC750" w:rsidR="00BC35DC" w:rsidRPr="001045B7" w:rsidRDefault="00BC35DC" w:rsidP="00BC35D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5,393,927,888 </w:t>
            </w:r>
          </w:p>
        </w:tc>
        <w:tc>
          <w:tcPr>
            <w:tcW w:w="2180" w:type="dxa"/>
            <w:tcBorders>
              <w:top w:val="nil"/>
              <w:left w:val="nil"/>
              <w:bottom w:val="single" w:sz="4" w:space="0" w:color="auto"/>
              <w:right w:val="single" w:sz="4" w:space="0" w:color="auto"/>
            </w:tcBorders>
            <w:shd w:val="clear" w:color="auto" w:fill="BFBFBF" w:themeFill="background1" w:themeFillShade="BF"/>
          </w:tcPr>
          <w:p w14:paraId="343E87A5" w14:textId="03B31BBA" w:rsidR="00BC35DC" w:rsidRPr="001045B7" w:rsidRDefault="00BC35DC" w:rsidP="00BC35DC">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5,496,367,349 </w:t>
            </w:r>
          </w:p>
        </w:tc>
      </w:tr>
    </w:tbl>
    <w:p w14:paraId="669DE4C8" w14:textId="77777777" w:rsidR="00640E90" w:rsidRPr="001045B7" w:rsidRDefault="00640E90" w:rsidP="00731906">
      <w:pPr>
        <w:spacing w:line="276" w:lineRule="auto"/>
        <w:jc w:val="both"/>
        <w:rPr>
          <w:rFonts w:asciiTheme="minorHAnsi" w:hAnsiTheme="minorHAnsi" w:cstheme="minorHAnsi"/>
          <w:sz w:val="17"/>
          <w:szCs w:val="17"/>
        </w:rPr>
      </w:pPr>
    </w:p>
    <w:p w14:paraId="518B81E9" w14:textId="77777777" w:rsidR="00640E90" w:rsidRPr="001045B7" w:rsidRDefault="00640E90" w:rsidP="00731906">
      <w:pPr>
        <w:spacing w:line="276" w:lineRule="auto"/>
        <w:jc w:val="both"/>
        <w:rPr>
          <w:rFonts w:asciiTheme="minorHAnsi" w:hAnsiTheme="minorHAnsi" w:cstheme="minorHAnsi"/>
          <w:sz w:val="17"/>
          <w:szCs w:val="17"/>
        </w:rPr>
      </w:pPr>
    </w:p>
    <w:p w14:paraId="7D0706A7" w14:textId="2DD7F980" w:rsidR="0031619F" w:rsidRPr="001045B7" w:rsidRDefault="0031619F" w:rsidP="00731906">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lastRenderedPageBreak/>
        <w:t>Detalle de las adquisiciones de las Actividades de Inversión efectivamente pagadas, respecto del apartado de aplicación:</w:t>
      </w:r>
    </w:p>
    <w:p w14:paraId="41464280" w14:textId="77777777" w:rsidR="0031619F" w:rsidRPr="001045B7" w:rsidRDefault="0031619F" w:rsidP="0031619F">
      <w:pPr>
        <w:autoSpaceDE w:val="0"/>
        <w:autoSpaceDN w:val="0"/>
        <w:adjustRightInd w:val="0"/>
        <w:spacing w:before="24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31619F" w:rsidRPr="001045B7" w14:paraId="70BF9393" w14:textId="77777777" w:rsidTr="00D4015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7209D5" w14:textId="77777777" w:rsidR="0031619F" w:rsidRPr="001045B7" w:rsidRDefault="0031619F"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4F00859" w14:textId="0FDB0AA7" w:rsidR="0031619F"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7CFB3F" w14:textId="32607B8C" w:rsidR="0031619F"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526EDF" w:rsidRPr="001045B7" w14:paraId="17E93936"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08D59A1" w14:textId="652B59AF" w:rsidR="00526EDF" w:rsidRPr="001045B7" w:rsidRDefault="00526EDF" w:rsidP="00526EDF">
            <w:pP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Bienes Inmuebles, Infraestructura y Construcciones en Proceso</w:t>
            </w:r>
          </w:p>
        </w:tc>
        <w:tc>
          <w:tcPr>
            <w:tcW w:w="2180" w:type="dxa"/>
            <w:tcBorders>
              <w:top w:val="nil"/>
              <w:left w:val="nil"/>
              <w:bottom w:val="single" w:sz="4" w:space="0" w:color="auto"/>
              <w:right w:val="single" w:sz="4" w:space="0" w:color="auto"/>
            </w:tcBorders>
            <w:shd w:val="clear" w:color="000000" w:fill="FFFFFF"/>
          </w:tcPr>
          <w:p w14:paraId="49B42644" w14:textId="0378B56C"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3,523,357,968 </w:t>
            </w:r>
          </w:p>
        </w:tc>
        <w:tc>
          <w:tcPr>
            <w:tcW w:w="2180" w:type="dxa"/>
            <w:tcBorders>
              <w:top w:val="nil"/>
              <w:left w:val="nil"/>
              <w:bottom w:val="single" w:sz="4" w:space="0" w:color="auto"/>
              <w:right w:val="single" w:sz="4" w:space="0" w:color="auto"/>
            </w:tcBorders>
            <w:shd w:val="clear" w:color="000000" w:fill="FFFFFF"/>
          </w:tcPr>
          <w:p w14:paraId="1F2CE210" w14:textId="21290853"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2,181,918,968 </w:t>
            </w:r>
          </w:p>
        </w:tc>
      </w:tr>
      <w:tr w:rsidR="00526EDF" w:rsidRPr="001045B7" w14:paraId="00E355D6" w14:textId="77777777" w:rsidTr="002A6A3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3D26D9EF" w14:textId="1D86A589"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inmuebles</w:t>
            </w:r>
          </w:p>
        </w:tc>
        <w:tc>
          <w:tcPr>
            <w:tcW w:w="2180" w:type="dxa"/>
            <w:tcBorders>
              <w:top w:val="nil"/>
              <w:left w:val="nil"/>
              <w:bottom w:val="single" w:sz="4" w:space="0" w:color="auto"/>
              <w:right w:val="single" w:sz="4" w:space="0" w:color="auto"/>
            </w:tcBorders>
            <w:shd w:val="clear" w:color="000000" w:fill="FFFFFF"/>
          </w:tcPr>
          <w:p w14:paraId="16837C98" w14:textId="7E24484A"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3,939,179 </w:t>
            </w:r>
          </w:p>
        </w:tc>
        <w:tc>
          <w:tcPr>
            <w:tcW w:w="2180" w:type="dxa"/>
            <w:tcBorders>
              <w:top w:val="nil"/>
              <w:left w:val="nil"/>
              <w:bottom w:val="single" w:sz="4" w:space="0" w:color="auto"/>
              <w:right w:val="single" w:sz="4" w:space="0" w:color="auto"/>
            </w:tcBorders>
            <w:shd w:val="clear" w:color="000000" w:fill="FFFFFF"/>
          </w:tcPr>
          <w:p w14:paraId="4D4F93BB" w14:textId="121E3DE6"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18,051,081 </w:t>
            </w:r>
          </w:p>
        </w:tc>
      </w:tr>
      <w:tr w:rsidR="00526EDF" w:rsidRPr="001045B7" w14:paraId="558A75A0" w14:textId="77777777" w:rsidTr="002A6A3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15E86050" w14:textId="197E3B84"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Obra pública en bienes de dominio público</w:t>
            </w:r>
          </w:p>
        </w:tc>
        <w:tc>
          <w:tcPr>
            <w:tcW w:w="2180" w:type="dxa"/>
            <w:tcBorders>
              <w:top w:val="nil"/>
              <w:left w:val="nil"/>
              <w:bottom w:val="single" w:sz="4" w:space="0" w:color="auto"/>
              <w:right w:val="single" w:sz="4" w:space="0" w:color="auto"/>
            </w:tcBorders>
            <w:shd w:val="clear" w:color="000000" w:fill="FFFFFF"/>
          </w:tcPr>
          <w:p w14:paraId="0EC3A632" w14:textId="0A3CF563"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3,519,418,788 </w:t>
            </w:r>
          </w:p>
        </w:tc>
        <w:tc>
          <w:tcPr>
            <w:tcW w:w="2180" w:type="dxa"/>
            <w:tcBorders>
              <w:top w:val="nil"/>
              <w:left w:val="nil"/>
              <w:bottom w:val="single" w:sz="4" w:space="0" w:color="auto"/>
              <w:right w:val="single" w:sz="4" w:space="0" w:color="auto"/>
            </w:tcBorders>
            <w:shd w:val="clear" w:color="000000" w:fill="FFFFFF"/>
          </w:tcPr>
          <w:p w14:paraId="02CB8A6F" w14:textId="5E071BAE"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2,163,867,887 </w:t>
            </w:r>
          </w:p>
        </w:tc>
      </w:tr>
      <w:tr w:rsidR="00526EDF" w:rsidRPr="001045B7" w14:paraId="6FF5AABC"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25C792DD" w14:textId="0069497C" w:rsidR="00526EDF" w:rsidRPr="001045B7" w:rsidRDefault="00526EDF" w:rsidP="00526EDF">
            <w:pP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Bienes muebles</w:t>
            </w:r>
          </w:p>
        </w:tc>
        <w:tc>
          <w:tcPr>
            <w:tcW w:w="2180" w:type="dxa"/>
            <w:tcBorders>
              <w:top w:val="nil"/>
              <w:left w:val="nil"/>
              <w:bottom w:val="single" w:sz="4" w:space="0" w:color="auto"/>
              <w:right w:val="single" w:sz="4" w:space="0" w:color="auto"/>
            </w:tcBorders>
            <w:shd w:val="clear" w:color="000000" w:fill="FFFFFF"/>
          </w:tcPr>
          <w:p w14:paraId="7459F3F6" w14:textId="7B08C0AC"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169,661,345 </w:t>
            </w:r>
          </w:p>
        </w:tc>
        <w:tc>
          <w:tcPr>
            <w:tcW w:w="2180" w:type="dxa"/>
            <w:tcBorders>
              <w:top w:val="nil"/>
              <w:left w:val="nil"/>
              <w:bottom w:val="single" w:sz="4" w:space="0" w:color="auto"/>
              <w:right w:val="single" w:sz="4" w:space="0" w:color="auto"/>
            </w:tcBorders>
            <w:shd w:val="clear" w:color="000000" w:fill="FFFFFF"/>
          </w:tcPr>
          <w:p w14:paraId="39F10FBD" w14:textId="0582AAD4"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208,350,578 </w:t>
            </w:r>
          </w:p>
        </w:tc>
      </w:tr>
      <w:tr w:rsidR="00526EDF" w:rsidRPr="001045B7" w14:paraId="77A3876D"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E91FD9F" w14:textId="02DC0073"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Mobiliario y Equipo de Administración</w:t>
            </w:r>
          </w:p>
        </w:tc>
        <w:tc>
          <w:tcPr>
            <w:tcW w:w="2180" w:type="dxa"/>
            <w:tcBorders>
              <w:top w:val="nil"/>
              <w:left w:val="nil"/>
              <w:bottom w:val="single" w:sz="4" w:space="0" w:color="auto"/>
              <w:right w:val="single" w:sz="4" w:space="0" w:color="auto"/>
            </w:tcBorders>
            <w:shd w:val="clear" w:color="000000" w:fill="FFFFFF"/>
          </w:tcPr>
          <w:p w14:paraId="41BBBBC4" w14:textId="35E5DD4C"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58,027,224 </w:t>
            </w:r>
          </w:p>
        </w:tc>
        <w:tc>
          <w:tcPr>
            <w:tcW w:w="2180" w:type="dxa"/>
            <w:tcBorders>
              <w:top w:val="nil"/>
              <w:left w:val="nil"/>
              <w:bottom w:val="single" w:sz="4" w:space="0" w:color="auto"/>
              <w:right w:val="single" w:sz="4" w:space="0" w:color="auto"/>
            </w:tcBorders>
            <w:shd w:val="clear" w:color="000000" w:fill="FFFFFF"/>
          </w:tcPr>
          <w:p w14:paraId="5A1F238C" w14:textId="75E2984C"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74,610,326 </w:t>
            </w:r>
          </w:p>
        </w:tc>
      </w:tr>
      <w:tr w:rsidR="00526EDF" w:rsidRPr="001045B7" w14:paraId="34F850B2"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CD877D5" w14:textId="0355133D"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Mobiliario y Equipo Educacional y Recreativo</w:t>
            </w:r>
          </w:p>
        </w:tc>
        <w:tc>
          <w:tcPr>
            <w:tcW w:w="2180" w:type="dxa"/>
            <w:tcBorders>
              <w:top w:val="nil"/>
              <w:left w:val="nil"/>
              <w:bottom w:val="single" w:sz="4" w:space="0" w:color="auto"/>
              <w:right w:val="single" w:sz="4" w:space="0" w:color="auto"/>
            </w:tcBorders>
            <w:shd w:val="clear" w:color="000000" w:fill="FFFFFF"/>
          </w:tcPr>
          <w:p w14:paraId="177A2D8D" w14:textId="50CA641B"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6,079,270 </w:t>
            </w:r>
          </w:p>
        </w:tc>
        <w:tc>
          <w:tcPr>
            <w:tcW w:w="2180" w:type="dxa"/>
            <w:tcBorders>
              <w:top w:val="nil"/>
              <w:left w:val="nil"/>
              <w:bottom w:val="single" w:sz="4" w:space="0" w:color="auto"/>
              <w:right w:val="single" w:sz="4" w:space="0" w:color="auto"/>
            </w:tcBorders>
            <w:shd w:val="clear" w:color="000000" w:fill="FFFFFF"/>
          </w:tcPr>
          <w:p w14:paraId="453247C6" w14:textId="68A48B3E"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18,468,134 </w:t>
            </w:r>
          </w:p>
        </w:tc>
      </w:tr>
      <w:tr w:rsidR="00526EDF" w:rsidRPr="001045B7" w14:paraId="052274AA"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5FCAD3EC" w14:textId="606CFD2D"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Equipo e Instrumental Médico y de Laboratorio</w:t>
            </w:r>
          </w:p>
        </w:tc>
        <w:tc>
          <w:tcPr>
            <w:tcW w:w="2180" w:type="dxa"/>
            <w:tcBorders>
              <w:top w:val="nil"/>
              <w:left w:val="nil"/>
              <w:bottom w:val="single" w:sz="4" w:space="0" w:color="auto"/>
              <w:right w:val="single" w:sz="4" w:space="0" w:color="auto"/>
            </w:tcBorders>
            <w:shd w:val="clear" w:color="000000" w:fill="FFFFFF"/>
          </w:tcPr>
          <w:p w14:paraId="0330EE16" w14:textId="17619506"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842,205 </w:t>
            </w:r>
          </w:p>
        </w:tc>
        <w:tc>
          <w:tcPr>
            <w:tcW w:w="2180" w:type="dxa"/>
            <w:tcBorders>
              <w:top w:val="nil"/>
              <w:left w:val="nil"/>
              <w:bottom w:val="single" w:sz="4" w:space="0" w:color="auto"/>
              <w:right w:val="single" w:sz="4" w:space="0" w:color="auto"/>
            </w:tcBorders>
            <w:shd w:val="clear" w:color="000000" w:fill="FFFFFF"/>
          </w:tcPr>
          <w:p w14:paraId="072A844F" w14:textId="089BEBFA"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1,083,863 </w:t>
            </w:r>
          </w:p>
        </w:tc>
      </w:tr>
      <w:tr w:rsidR="00526EDF" w:rsidRPr="001045B7" w14:paraId="033C6A44"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69448556" w14:textId="40189637"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Vehículos y Equipo de Transporte</w:t>
            </w:r>
          </w:p>
        </w:tc>
        <w:tc>
          <w:tcPr>
            <w:tcW w:w="2180" w:type="dxa"/>
            <w:tcBorders>
              <w:top w:val="nil"/>
              <w:left w:val="nil"/>
              <w:bottom w:val="single" w:sz="4" w:space="0" w:color="auto"/>
              <w:right w:val="single" w:sz="4" w:space="0" w:color="auto"/>
            </w:tcBorders>
            <w:shd w:val="clear" w:color="000000" w:fill="FFFFFF"/>
          </w:tcPr>
          <w:p w14:paraId="04BC2157" w14:textId="253B1A78"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68,505,647 </w:t>
            </w:r>
          </w:p>
        </w:tc>
        <w:tc>
          <w:tcPr>
            <w:tcW w:w="2180" w:type="dxa"/>
            <w:tcBorders>
              <w:top w:val="nil"/>
              <w:left w:val="nil"/>
              <w:bottom w:val="single" w:sz="4" w:space="0" w:color="auto"/>
              <w:right w:val="single" w:sz="4" w:space="0" w:color="auto"/>
            </w:tcBorders>
            <w:shd w:val="clear" w:color="000000" w:fill="FFFFFF"/>
          </w:tcPr>
          <w:p w14:paraId="4057CC10" w14:textId="4A045BF7"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38,832,283 </w:t>
            </w:r>
          </w:p>
        </w:tc>
      </w:tr>
      <w:tr w:rsidR="00526EDF" w:rsidRPr="001045B7" w14:paraId="0DD1D84B"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3FC56E1F" w14:textId="082BEA40"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Equipo de Defensa y Seguridad</w:t>
            </w:r>
          </w:p>
        </w:tc>
        <w:tc>
          <w:tcPr>
            <w:tcW w:w="2180" w:type="dxa"/>
            <w:tcBorders>
              <w:top w:val="nil"/>
              <w:left w:val="nil"/>
              <w:bottom w:val="single" w:sz="4" w:space="0" w:color="auto"/>
              <w:right w:val="single" w:sz="4" w:space="0" w:color="auto"/>
            </w:tcBorders>
            <w:shd w:val="clear" w:color="000000" w:fill="FFFFFF"/>
          </w:tcPr>
          <w:p w14:paraId="141E76AE" w14:textId="1CF32B5A"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683,820 </w:t>
            </w:r>
          </w:p>
        </w:tc>
        <w:tc>
          <w:tcPr>
            <w:tcW w:w="2180" w:type="dxa"/>
            <w:tcBorders>
              <w:top w:val="nil"/>
              <w:left w:val="nil"/>
              <w:bottom w:val="single" w:sz="4" w:space="0" w:color="auto"/>
              <w:right w:val="single" w:sz="4" w:space="0" w:color="auto"/>
            </w:tcBorders>
            <w:shd w:val="clear" w:color="000000" w:fill="FFFFFF"/>
          </w:tcPr>
          <w:p w14:paraId="6FBBAC67" w14:textId="2E820FBA"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748,668 </w:t>
            </w:r>
          </w:p>
        </w:tc>
      </w:tr>
      <w:tr w:rsidR="00526EDF" w:rsidRPr="001045B7" w14:paraId="5F15E795"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466365E0" w14:textId="7A038868"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Maquinaria, Otros Equipos y Herramientas</w:t>
            </w:r>
          </w:p>
        </w:tc>
        <w:tc>
          <w:tcPr>
            <w:tcW w:w="2180" w:type="dxa"/>
            <w:tcBorders>
              <w:top w:val="nil"/>
              <w:left w:val="nil"/>
              <w:bottom w:val="single" w:sz="4" w:space="0" w:color="auto"/>
              <w:right w:val="single" w:sz="4" w:space="0" w:color="auto"/>
            </w:tcBorders>
            <w:shd w:val="clear" w:color="000000" w:fill="FFFFFF"/>
          </w:tcPr>
          <w:p w14:paraId="6E4817CA" w14:textId="3A38FBBD"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32,053,704 </w:t>
            </w:r>
          </w:p>
        </w:tc>
        <w:tc>
          <w:tcPr>
            <w:tcW w:w="2180" w:type="dxa"/>
            <w:tcBorders>
              <w:top w:val="nil"/>
              <w:left w:val="nil"/>
              <w:bottom w:val="single" w:sz="4" w:space="0" w:color="auto"/>
              <w:right w:val="single" w:sz="4" w:space="0" w:color="auto"/>
            </w:tcBorders>
            <w:shd w:val="clear" w:color="000000" w:fill="FFFFFF"/>
          </w:tcPr>
          <w:p w14:paraId="5EC5A348" w14:textId="1F843363"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17,623,882 </w:t>
            </w:r>
          </w:p>
        </w:tc>
      </w:tr>
      <w:tr w:rsidR="00526EDF" w:rsidRPr="001045B7" w14:paraId="6E896835"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24C84C4C" w14:textId="05197307" w:rsidR="00526EDF" w:rsidRPr="001045B7" w:rsidRDefault="00526EDF" w:rsidP="00526EDF">
            <w:pPr>
              <w:rPr>
                <w:rFonts w:asciiTheme="minorHAnsi" w:hAnsiTheme="minorHAnsi" w:cstheme="minorHAnsi"/>
                <w:color w:val="000000"/>
                <w:sz w:val="17"/>
                <w:szCs w:val="17"/>
              </w:rPr>
            </w:pPr>
            <w:r w:rsidRPr="001045B7">
              <w:rPr>
                <w:rFonts w:asciiTheme="minorHAnsi" w:hAnsiTheme="minorHAnsi" w:cstheme="minorHAnsi"/>
                <w:color w:val="000000"/>
                <w:sz w:val="17"/>
                <w:szCs w:val="17"/>
              </w:rPr>
              <w:t>Activos Intangibles</w:t>
            </w:r>
          </w:p>
        </w:tc>
        <w:tc>
          <w:tcPr>
            <w:tcW w:w="2180" w:type="dxa"/>
            <w:tcBorders>
              <w:top w:val="nil"/>
              <w:left w:val="nil"/>
              <w:bottom w:val="single" w:sz="4" w:space="0" w:color="auto"/>
              <w:right w:val="single" w:sz="4" w:space="0" w:color="auto"/>
            </w:tcBorders>
            <w:shd w:val="clear" w:color="000000" w:fill="FFFFFF"/>
          </w:tcPr>
          <w:p w14:paraId="3323D1E2" w14:textId="70494C53"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3,469,476 </w:t>
            </w:r>
          </w:p>
        </w:tc>
        <w:tc>
          <w:tcPr>
            <w:tcW w:w="2180" w:type="dxa"/>
            <w:tcBorders>
              <w:top w:val="nil"/>
              <w:left w:val="nil"/>
              <w:bottom w:val="single" w:sz="4" w:space="0" w:color="auto"/>
              <w:right w:val="single" w:sz="4" w:space="0" w:color="auto"/>
            </w:tcBorders>
            <w:shd w:val="clear" w:color="000000" w:fill="FFFFFF"/>
          </w:tcPr>
          <w:p w14:paraId="00378F84" w14:textId="30CF7CC7" w:rsidR="00526EDF" w:rsidRPr="001045B7" w:rsidRDefault="00526EDF" w:rsidP="00526EDF">
            <w:pPr>
              <w:jc w:val="right"/>
              <w:rPr>
                <w:rFonts w:asciiTheme="minorHAnsi" w:hAnsiTheme="minorHAnsi" w:cstheme="minorHAnsi"/>
                <w:sz w:val="17"/>
                <w:szCs w:val="17"/>
              </w:rPr>
            </w:pPr>
            <w:r w:rsidRPr="001045B7">
              <w:rPr>
                <w:rFonts w:asciiTheme="minorHAnsi" w:hAnsiTheme="minorHAnsi" w:cstheme="minorHAnsi"/>
                <w:sz w:val="17"/>
                <w:szCs w:val="17"/>
              </w:rPr>
              <w:t xml:space="preserve"> 56,983,422 </w:t>
            </w:r>
          </w:p>
        </w:tc>
      </w:tr>
      <w:tr w:rsidR="00526EDF" w:rsidRPr="001045B7" w14:paraId="5BD6A393"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D44DB23" w14:textId="72A8EED3" w:rsidR="00526EDF" w:rsidRPr="001045B7" w:rsidRDefault="00526EDF" w:rsidP="00526EDF">
            <w:pPr>
              <w:rPr>
                <w:rFonts w:asciiTheme="minorHAnsi" w:hAnsiTheme="minorHAnsi" w:cstheme="minorHAnsi"/>
                <w:b/>
                <w:color w:val="000000"/>
                <w:sz w:val="17"/>
                <w:szCs w:val="17"/>
              </w:rPr>
            </w:pPr>
            <w:r w:rsidRPr="001045B7">
              <w:rPr>
                <w:rFonts w:asciiTheme="minorHAnsi" w:hAnsiTheme="minorHAnsi" w:cstheme="minorHAnsi"/>
                <w:b/>
                <w:color w:val="000000"/>
                <w:sz w:val="17"/>
                <w:szCs w:val="17"/>
              </w:rPr>
              <w:t>Otras Inversiones</w:t>
            </w:r>
          </w:p>
        </w:tc>
        <w:tc>
          <w:tcPr>
            <w:tcW w:w="2180" w:type="dxa"/>
            <w:tcBorders>
              <w:top w:val="nil"/>
              <w:left w:val="nil"/>
              <w:bottom w:val="single" w:sz="4" w:space="0" w:color="auto"/>
              <w:right w:val="single" w:sz="4" w:space="0" w:color="auto"/>
            </w:tcBorders>
            <w:shd w:val="clear" w:color="000000" w:fill="FFFFFF"/>
          </w:tcPr>
          <w:p w14:paraId="25977355" w14:textId="52CB7654"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153,360,737 </w:t>
            </w:r>
          </w:p>
        </w:tc>
        <w:tc>
          <w:tcPr>
            <w:tcW w:w="2180" w:type="dxa"/>
            <w:tcBorders>
              <w:top w:val="nil"/>
              <w:left w:val="nil"/>
              <w:bottom w:val="single" w:sz="4" w:space="0" w:color="auto"/>
              <w:right w:val="single" w:sz="4" w:space="0" w:color="auto"/>
            </w:tcBorders>
            <w:shd w:val="clear" w:color="000000" w:fill="FFFFFF"/>
          </w:tcPr>
          <w:p w14:paraId="3E303E66" w14:textId="7AFE346D"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2,775,779,941 </w:t>
            </w:r>
          </w:p>
        </w:tc>
      </w:tr>
      <w:tr w:rsidR="00526EDF" w:rsidRPr="001045B7" w14:paraId="290C9975" w14:textId="77777777" w:rsidTr="00D40155">
        <w:trPr>
          <w:trHeight w:val="58"/>
          <w:jc w:val="center"/>
        </w:trPr>
        <w:tc>
          <w:tcPr>
            <w:tcW w:w="4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44E140B" w14:textId="3489F779" w:rsidR="00526EDF" w:rsidRPr="001045B7" w:rsidRDefault="00526EDF" w:rsidP="00526EDF">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Total</w:t>
            </w:r>
          </w:p>
        </w:tc>
        <w:tc>
          <w:tcPr>
            <w:tcW w:w="2180" w:type="dxa"/>
            <w:tcBorders>
              <w:top w:val="nil"/>
              <w:left w:val="nil"/>
              <w:bottom w:val="single" w:sz="4" w:space="0" w:color="auto"/>
              <w:right w:val="single" w:sz="4" w:space="0" w:color="auto"/>
            </w:tcBorders>
            <w:shd w:val="clear" w:color="auto" w:fill="BFBFBF" w:themeFill="background1" w:themeFillShade="BF"/>
          </w:tcPr>
          <w:p w14:paraId="5263DB70" w14:textId="59AE5C52"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3,846,380,050 </w:t>
            </w:r>
          </w:p>
        </w:tc>
        <w:tc>
          <w:tcPr>
            <w:tcW w:w="2180" w:type="dxa"/>
            <w:tcBorders>
              <w:top w:val="nil"/>
              <w:left w:val="nil"/>
              <w:bottom w:val="single" w:sz="4" w:space="0" w:color="auto"/>
              <w:right w:val="single" w:sz="4" w:space="0" w:color="auto"/>
            </w:tcBorders>
            <w:shd w:val="clear" w:color="auto" w:fill="BFBFBF" w:themeFill="background1" w:themeFillShade="BF"/>
          </w:tcPr>
          <w:p w14:paraId="5BE631AD" w14:textId="759B8D0C" w:rsidR="00526EDF" w:rsidRPr="001045B7" w:rsidRDefault="00526EDF" w:rsidP="00526ED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5,166,049,487 </w:t>
            </w:r>
          </w:p>
        </w:tc>
      </w:tr>
    </w:tbl>
    <w:p w14:paraId="27075EA9" w14:textId="2EA9CA10" w:rsidR="0031619F" w:rsidRPr="001045B7" w:rsidRDefault="0031619F" w:rsidP="00731906">
      <w:pPr>
        <w:spacing w:line="276" w:lineRule="auto"/>
        <w:jc w:val="both"/>
        <w:rPr>
          <w:rFonts w:asciiTheme="minorHAnsi" w:hAnsiTheme="minorHAnsi" w:cstheme="minorHAnsi"/>
          <w:sz w:val="17"/>
          <w:szCs w:val="17"/>
        </w:rPr>
      </w:pPr>
    </w:p>
    <w:p w14:paraId="038C40F9" w14:textId="0AFB5ACE" w:rsidR="00A82A4B" w:rsidRPr="001045B7" w:rsidRDefault="00A82A4B" w:rsidP="00731906">
      <w:pPr>
        <w:spacing w:line="276" w:lineRule="auto"/>
        <w:jc w:val="both"/>
        <w:rPr>
          <w:rFonts w:asciiTheme="minorHAnsi" w:hAnsiTheme="minorHAnsi" w:cstheme="minorHAnsi"/>
          <w:sz w:val="17"/>
          <w:szCs w:val="17"/>
        </w:rPr>
      </w:pPr>
    </w:p>
    <w:p w14:paraId="67D758D7" w14:textId="1FADFE3A" w:rsidR="00CB13C9" w:rsidRPr="001045B7" w:rsidRDefault="00CB13C9" w:rsidP="00731906">
      <w:pPr>
        <w:spacing w:line="276" w:lineRule="auto"/>
        <w:jc w:val="both"/>
        <w:rPr>
          <w:rFonts w:asciiTheme="minorHAnsi" w:hAnsiTheme="minorHAnsi" w:cstheme="minorHAnsi"/>
          <w:sz w:val="17"/>
          <w:szCs w:val="17"/>
        </w:rPr>
      </w:pPr>
    </w:p>
    <w:p w14:paraId="70FEB688" w14:textId="77777777" w:rsidR="00CB13C9" w:rsidRPr="001045B7" w:rsidRDefault="00CB13C9" w:rsidP="00731906">
      <w:pPr>
        <w:spacing w:line="276" w:lineRule="auto"/>
        <w:jc w:val="both"/>
        <w:rPr>
          <w:rFonts w:asciiTheme="minorHAnsi" w:hAnsiTheme="minorHAnsi" w:cstheme="minorHAnsi"/>
          <w:sz w:val="17"/>
          <w:szCs w:val="17"/>
        </w:rPr>
      </w:pPr>
    </w:p>
    <w:p w14:paraId="42403091" w14:textId="3A344D74" w:rsidR="0031619F" w:rsidRPr="001045B7" w:rsidRDefault="0031619F" w:rsidP="00731906">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Conciliación de los Flujos de Efectivos Netos de las Actividades de Operación y los saldos de Resultados del Ejercicio (Ahorro/Desahorro):</w:t>
      </w:r>
    </w:p>
    <w:p w14:paraId="18FE95AA" w14:textId="77777777" w:rsidR="0031619F" w:rsidRPr="001045B7" w:rsidRDefault="0031619F" w:rsidP="0031619F">
      <w:pPr>
        <w:spacing w:before="80" w:line="250" w:lineRule="exact"/>
        <w:ind w:left="851" w:right="-1559"/>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(Pesos)       </w:t>
      </w:r>
    </w:p>
    <w:tbl>
      <w:tblPr>
        <w:tblpPr w:leftFromText="141" w:rightFromText="141" w:vertAnchor="text" w:horzAnchor="margin" w:tblpXSpec="center" w:tblpY="262"/>
        <w:tblOverlap w:val="never"/>
        <w:tblW w:w="9669" w:type="dxa"/>
        <w:tblCellMar>
          <w:left w:w="70" w:type="dxa"/>
          <w:right w:w="70" w:type="dxa"/>
        </w:tblCellMar>
        <w:tblLook w:val="04A0" w:firstRow="1" w:lastRow="0" w:firstColumn="1" w:lastColumn="0" w:noHBand="0" w:noVBand="1"/>
      </w:tblPr>
      <w:tblGrid>
        <w:gridCol w:w="5513"/>
        <w:gridCol w:w="2078"/>
        <w:gridCol w:w="2078"/>
      </w:tblGrid>
      <w:tr w:rsidR="0031619F" w:rsidRPr="001045B7" w14:paraId="5FB43419" w14:textId="77777777" w:rsidTr="00B21DA1">
        <w:trPr>
          <w:trHeight w:val="253"/>
        </w:trPr>
        <w:tc>
          <w:tcPr>
            <w:tcW w:w="5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C05A98" w14:textId="280B3293" w:rsidR="0031619F" w:rsidRPr="001045B7" w:rsidRDefault="0031619F"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Concepto</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607021" w14:textId="33212DB3" w:rsidR="0031619F"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2024</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BA8605" w14:textId="05296D5D" w:rsidR="0031619F" w:rsidRPr="001045B7" w:rsidRDefault="008E7DE6"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2023</w:t>
            </w:r>
          </w:p>
        </w:tc>
      </w:tr>
      <w:tr w:rsidR="00982F6F" w:rsidRPr="001045B7" w14:paraId="125BD38D"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vAlign w:val="center"/>
            <w:hideMark/>
          </w:tcPr>
          <w:p w14:paraId="1F3F8B76" w14:textId="66AD8E56" w:rsidR="00982F6F" w:rsidRPr="001045B7" w:rsidRDefault="00982F6F" w:rsidP="00982F6F">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Resultados del Ejercicio Ahorro/Desahorro</w:t>
            </w:r>
          </w:p>
        </w:tc>
        <w:tc>
          <w:tcPr>
            <w:tcW w:w="2078" w:type="dxa"/>
            <w:tcBorders>
              <w:top w:val="nil"/>
              <w:left w:val="nil"/>
              <w:bottom w:val="single" w:sz="4" w:space="0" w:color="auto"/>
              <w:right w:val="single" w:sz="4" w:space="0" w:color="auto"/>
            </w:tcBorders>
            <w:shd w:val="clear" w:color="000000" w:fill="FFFFFF"/>
          </w:tcPr>
          <w:p w14:paraId="63D5E251" w14:textId="4FEED1ED"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sz w:val="17"/>
                <w:szCs w:val="17"/>
              </w:rPr>
              <w:t xml:space="preserve"> 4,334,053,612 </w:t>
            </w:r>
          </w:p>
        </w:tc>
        <w:tc>
          <w:tcPr>
            <w:tcW w:w="2078" w:type="dxa"/>
            <w:tcBorders>
              <w:top w:val="nil"/>
              <w:left w:val="nil"/>
              <w:bottom w:val="single" w:sz="4" w:space="0" w:color="auto"/>
              <w:right w:val="single" w:sz="4" w:space="0" w:color="auto"/>
            </w:tcBorders>
            <w:shd w:val="clear" w:color="000000" w:fill="FFFFFF"/>
          </w:tcPr>
          <w:p w14:paraId="1F581CF6" w14:textId="26CA21DA"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5,053,837,731 </w:t>
            </w:r>
          </w:p>
        </w:tc>
      </w:tr>
      <w:tr w:rsidR="00982F6F" w:rsidRPr="001045B7" w14:paraId="061EC504"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vAlign w:val="center"/>
            <w:hideMark/>
          </w:tcPr>
          <w:p w14:paraId="1ED199A1" w14:textId="77777777" w:rsidR="00982F6F" w:rsidRPr="001045B7" w:rsidRDefault="00982F6F" w:rsidP="00982F6F">
            <w:pPr>
              <w:rPr>
                <w:rFonts w:asciiTheme="minorHAnsi" w:hAnsiTheme="minorHAnsi" w:cstheme="minorHAnsi"/>
                <w:b/>
                <w:i/>
                <w:iCs/>
                <w:color w:val="000000"/>
                <w:sz w:val="17"/>
                <w:szCs w:val="17"/>
              </w:rPr>
            </w:pPr>
            <w:r w:rsidRPr="001045B7">
              <w:rPr>
                <w:rFonts w:asciiTheme="minorHAnsi" w:hAnsiTheme="minorHAnsi" w:cstheme="minorHAnsi"/>
                <w:b/>
                <w:i/>
                <w:iCs/>
                <w:color w:val="000000"/>
                <w:sz w:val="17"/>
                <w:szCs w:val="17"/>
              </w:rPr>
              <w:t>Movimientos de partidas (o rubros) que no afectan al efectivo</w:t>
            </w:r>
          </w:p>
        </w:tc>
        <w:tc>
          <w:tcPr>
            <w:tcW w:w="2078" w:type="dxa"/>
            <w:tcBorders>
              <w:top w:val="nil"/>
              <w:left w:val="nil"/>
              <w:bottom w:val="single" w:sz="4" w:space="0" w:color="auto"/>
              <w:right w:val="single" w:sz="4" w:space="0" w:color="auto"/>
            </w:tcBorders>
            <w:shd w:val="clear" w:color="auto" w:fill="auto"/>
          </w:tcPr>
          <w:p w14:paraId="69FF6823" w14:textId="2ADE50AE"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sz w:val="17"/>
                <w:szCs w:val="17"/>
              </w:rPr>
              <w:t xml:space="preserve"> 1,230,957,404 </w:t>
            </w:r>
          </w:p>
        </w:tc>
        <w:tc>
          <w:tcPr>
            <w:tcW w:w="2078" w:type="dxa"/>
            <w:tcBorders>
              <w:top w:val="nil"/>
              <w:left w:val="nil"/>
              <w:bottom w:val="single" w:sz="4" w:space="0" w:color="auto"/>
              <w:right w:val="single" w:sz="4" w:space="0" w:color="auto"/>
            </w:tcBorders>
            <w:shd w:val="clear" w:color="auto" w:fill="auto"/>
          </w:tcPr>
          <w:p w14:paraId="064AFED4" w14:textId="66307B15"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938,219,959 </w:t>
            </w:r>
          </w:p>
        </w:tc>
      </w:tr>
      <w:tr w:rsidR="00982F6F" w:rsidRPr="001045B7" w14:paraId="7D8EF6EC"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vAlign w:val="center"/>
          </w:tcPr>
          <w:p w14:paraId="74863762" w14:textId="4EF0E1F1" w:rsidR="00982F6F" w:rsidRPr="001045B7" w:rsidRDefault="00982F6F" w:rsidP="00982F6F">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Depreciación</w:t>
            </w:r>
          </w:p>
        </w:tc>
        <w:tc>
          <w:tcPr>
            <w:tcW w:w="2078" w:type="dxa"/>
            <w:tcBorders>
              <w:top w:val="nil"/>
              <w:left w:val="nil"/>
              <w:bottom w:val="single" w:sz="4" w:space="0" w:color="auto"/>
              <w:right w:val="single" w:sz="4" w:space="0" w:color="auto"/>
            </w:tcBorders>
            <w:shd w:val="clear" w:color="auto" w:fill="auto"/>
          </w:tcPr>
          <w:p w14:paraId="5C07AA81" w14:textId="37F8192A"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413,301,858 </w:t>
            </w:r>
          </w:p>
        </w:tc>
        <w:tc>
          <w:tcPr>
            <w:tcW w:w="2078" w:type="dxa"/>
            <w:tcBorders>
              <w:top w:val="nil"/>
              <w:left w:val="nil"/>
              <w:bottom w:val="single" w:sz="4" w:space="0" w:color="auto"/>
              <w:right w:val="single" w:sz="4" w:space="0" w:color="auto"/>
            </w:tcBorders>
            <w:shd w:val="clear" w:color="auto" w:fill="auto"/>
          </w:tcPr>
          <w:p w14:paraId="2D24F31A" w14:textId="32E1C05F"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383,974,409 </w:t>
            </w:r>
          </w:p>
        </w:tc>
      </w:tr>
      <w:tr w:rsidR="00982F6F" w:rsidRPr="001045B7" w14:paraId="249C8010"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vAlign w:val="center"/>
          </w:tcPr>
          <w:p w14:paraId="66745E1C" w14:textId="718C273C" w:rsidR="00982F6F" w:rsidRPr="001045B7" w:rsidRDefault="00982F6F" w:rsidP="00982F6F">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Amortización</w:t>
            </w:r>
          </w:p>
        </w:tc>
        <w:tc>
          <w:tcPr>
            <w:tcW w:w="2078" w:type="dxa"/>
            <w:tcBorders>
              <w:top w:val="nil"/>
              <w:left w:val="nil"/>
              <w:bottom w:val="single" w:sz="4" w:space="0" w:color="auto"/>
              <w:right w:val="single" w:sz="4" w:space="0" w:color="auto"/>
            </w:tcBorders>
            <w:shd w:val="clear" w:color="auto" w:fill="auto"/>
          </w:tcPr>
          <w:p w14:paraId="194B38FB" w14:textId="0A67D268"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787,631,147 </w:t>
            </w:r>
          </w:p>
        </w:tc>
        <w:tc>
          <w:tcPr>
            <w:tcW w:w="2078" w:type="dxa"/>
            <w:tcBorders>
              <w:top w:val="nil"/>
              <w:left w:val="nil"/>
              <w:bottom w:val="single" w:sz="4" w:space="0" w:color="auto"/>
              <w:right w:val="single" w:sz="4" w:space="0" w:color="auto"/>
            </w:tcBorders>
            <w:shd w:val="clear" w:color="auto" w:fill="auto"/>
          </w:tcPr>
          <w:p w14:paraId="75D5C2BB" w14:textId="53133BF5"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56,677,334 </w:t>
            </w:r>
          </w:p>
        </w:tc>
      </w:tr>
      <w:tr w:rsidR="00982F6F" w:rsidRPr="001045B7" w14:paraId="6C49BBD4"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vAlign w:val="center"/>
          </w:tcPr>
          <w:p w14:paraId="47E8FC21" w14:textId="430A7215" w:rsidR="00982F6F" w:rsidRPr="001045B7" w:rsidRDefault="00982F6F" w:rsidP="00982F6F">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Incremento en activo circulante / Hacienda pública</w:t>
            </w:r>
          </w:p>
        </w:tc>
        <w:tc>
          <w:tcPr>
            <w:tcW w:w="2078" w:type="dxa"/>
            <w:tcBorders>
              <w:top w:val="nil"/>
              <w:left w:val="nil"/>
              <w:bottom w:val="single" w:sz="4" w:space="0" w:color="auto"/>
              <w:right w:val="single" w:sz="4" w:space="0" w:color="auto"/>
            </w:tcBorders>
            <w:shd w:val="clear" w:color="auto" w:fill="auto"/>
          </w:tcPr>
          <w:p w14:paraId="501D5F05" w14:textId="26ACFD8E"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-5,003,960,340 </w:t>
            </w:r>
          </w:p>
        </w:tc>
        <w:tc>
          <w:tcPr>
            <w:tcW w:w="2078" w:type="dxa"/>
            <w:tcBorders>
              <w:top w:val="nil"/>
              <w:left w:val="nil"/>
              <w:bottom w:val="single" w:sz="4" w:space="0" w:color="auto"/>
              <w:right w:val="single" w:sz="4" w:space="0" w:color="auto"/>
            </w:tcBorders>
            <w:shd w:val="clear" w:color="auto" w:fill="auto"/>
          </w:tcPr>
          <w:p w14:paraId="11D32546" w14:textId="761150C0"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-4,449,198,606 </w:t>
            </w:r>
          </w:p>
        </w:tc>
      </w:tr>
      <w:tr w:rsidR="00982F6F" w:rsidRPr="001045B7" w14:paraId="316B9A48"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hideMark/>
          </w:tcPr>
          <w:p w14:paraId="2C62938D" w14:textId="3C6027E6" w:rsidR="00982F6F" w:rsidRPr="001045B7" w:rsidRDefault="00982F6F" w:rsidP="00982F6F">
            <w:pPr>
              <w:ind w:firstLineChars="100" w:firstLine="170"/>
              <w:rPr>
                <w:rFonts w:asciiTheme="minorHAnsi" w:hAnsiTheme="minorHAnsi" w:cstheme="minorHAnsi"/>
                <w:color w:val="000000"/>
                <w:sz w:val="17"/>
                <w:szCs w:val="17"/>
              </w:rPr>
            </w:pPr>
            <w:r w:rsidRPr="001045B7">
              <w:rPr>
                <w:rFonts w:asciiTheme="minorHAnsi" w:hAnsiTheme="minorHAnsi" w:cstheme="minorHAnsi"/>
                <w:sz w:val="17"/>
                <w:szCs w:val="17"/>
              </w:rPr>
              <w:t xml:space="preserve">Partidas extraordinarias </w:t>
            </w:r>
          </w:p>
        </w:tc>
        <w:tc>
          <w:tcPr>
            <w:tcW w:w="2078" w:type="dxa"/>
            <w:tcBorders>
              <w:top w:val="nil"/>
              <w:left w:val="nil"/>
              <w:bottom w:val="single" w:sz="4" w:space="0" w:color="auto"/>
              <w:right w:val="single" w:sz="4" w:space="0" w:color="auto"/>
            </w:tcBorders>
            <w:shd w:val="clear" w:color="auto" w:fill="auto"/>
          </w:tcPr>
          <w:p w14:paraId="5CC3601D" w14:textId="5D867A78"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1,432,814,257 </w:t>
            </w:r>
          </w:p>
        </w:tc>
        <w:tc>
          <w:tcPr>
            <w:tcW w:w="2078" w:type="dxa"/>
            <w:tcBorders>
              <w:top w:val="nil"/>
              <w:left w:val="nil"/>
              <w:bottom w:val="single" w:sz="4" w:space="0" w:color="auto"/>
              <w:right w:val="single" w:sz="4" w:space="0" w:color="auto"/>
            </w:tcBorders>
            <w:shd w:val="clear" w:color="auto" w:fill="auto"/>
          </w:tcPr>
          <w:p w14:paraId="4E4B14D9" w14:textId="53BC89F7"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1,835,281,506 </w:t>
            </w:r>
          </w:p>
        </w:tc>
      </w:tr>
      <w:tr w:rsidR="00982F6F" w:rsidRPr="001045B7" w14:paraId="2CC917CB" w14:textId="77777777" w:rsidTr="00B21DA1">
        <w:trPr>
          <w:trHeight w:val="253"/>
        </w:trPr>
        <w:tc>
          <w:tcPr>
            <w:tcW w:w="5513" w:type="dxa"/>
            <w:tcBorders>
              <w:top w:val="nil"/>
              <w:left w:val="single" w:sz="4" w:space="0" w:color="auto"/>
              <w:bottom w:val="single" w:sz="4" w:space="0" w:color="auto"/>
              <w:right w:val="single" w:sz="4" w:space="0" w:color="auto"/>
            </w:tcBorders>
            <w:shd w:val="clear" w:color="000000" w:fill="FFFFFF"/>
            <w:hideMark/>
          </w:tcPr>
          <w:p w14:paraId="080A80A5" w14:textId="42D665E3" w:rsidR="00982F6F" w:rsidRPr="001045B7" w:rsidRDefault="00982F6F" w:rsidP="00982F6F">
            <w:pPr>
              <w:ind w:firstLineChars="100" w:firstLine="170"/>
              <w:rPr>
                <w:rFonts w:asciiTheme="minorHAnsi" w:hAnsiTheme="minorHAnsi" w:cstheme="minorHAnsi"/>
                <w:color w:val="000000"/>
                <w:sz w:val="17"/>
                <w:szCs w:val="17"/>
              </w:rPr>
            </w:pPr>
            <w:r w:rsidRPr="001045B7">
              <w:rPr>
                <w:rFonts w:asciiTheme="minorHAnsi" w:hAnsiTheme="minorHAnsi" w:cstheme="minorHAnsi"/>
                <w:sz w:val="17"/>
                <w:szCs w:val="17"/>
              </w:rPr>
              <w:t>Otros ingresos y beneficios</w:t>
            </w:r>
          </w:p>
        </w:tc>
        <w:tc>
          <w:tcPr>
            <w:tcW w:w="2078" w:type="dxa"/>
            <w:tcBorders>
              <w:top w:val="nil"/>
              <w:left w:val="nil"/>
              <w:bottom w:val="single" w:sz="4" w:space="0" w:color="auto"/>
              <w:right w:val="single" w:sz="4" w:space="0" w:color="auto"/>
            </w:tcBorders>
            <w:shd w:val="clear" w:color="auto" w:fill="auto"/>
          </w:tcPr>
          <w:p w14:paraId="15F5EE2B" w14:textId="472BECC3"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3,601,170,482 </w:t>
            </w:r>
          </w:p>
        </w:tc>
        <w:tc>
          <w:tcPr>
            <w:tcW w:w="2078" w:type="dxa"/>
            <w:tcBorders>
              <w:top w:val="nil"/>
              <w:left w:val="nil"/>
              <w:bottom w:val="single" w:sz="4" w:space="0" w:color="auto"/>
              <w:right w:val="single" w:sz="4" w:space="0" w:color="auto"/>
            </w:tcBorders>
            <w:shd w:val="clear" w:color="000000" w:fill="FFFFFF"/>
          </w:tcPr>
          <w:p w14:paraId="16BEB241" w14:textId="0813D52A" w:rsidR="00982F6F" w:rsidRPr="001045B7" w:rsidRDefault="00982F6F" w:rsidP="00982F6F">
            <w:pPr>
              <w:jc w:val="right"/>
              <w:rPr>
                <w:rFonts w:asciiTheme="minorHAnsi" w:hAnsiTheme="minorHAnsi" w:cstheme="minorHAnsi"/>
                <w:sz w:val="17"/>
                <w:szCs w:val="17"/>
              </w:rPr>
            </w:pPr>
            <w:r w:rsidRPr="001045B7">
              <w:rPr>
                <w:rFonts w:asciiTheme="minorHAnsi" w:hAnsiTheme="minorHAnsi" w:cstheme="minorHAnsi"/>
                <w:sz w:val="17"/>
                <w:szCs w:val="17"/>
              </w:rPr>
              <w:t xml:space="preserve"> 3,111,485,317 </w:t>
            </w:r>
          </w:p>
        </w:tc>
      </w:tr>
      <w:tr w:rsidR="00982F6F" w:rsidRPr="001045B7" w14:paraId="6DF36A53" w14:textId="77777777" w:rsidTr="00B21DA1">
        <w:trPr>
          <w:trHeight w:val="253"/>
        </w:trPr>
        <w:tc>
          <w:tcPr>
            <w:tcW w:w="5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09BD1" w14:textId="77777777" w:rsidR="00982F6F" w:rsidRPr="001045B7" w:rsidRDefault="00982F6F" w:rsidP="00982F6F">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Flujos de Efectivo Netos de las Actividades de Operación</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tcPr>
          <w:p w14:paraId="730690DE" w14:textId="19EAE55C"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3,103,096,207 </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tcPr>
          <w:p w14:paraId="5DF07CDF" w14:textId="6D6E5A66" w:rsidR="00982F6F" w:rsidRPr="001045B7" w:rsidRDefault="00982F6F" w:rsidP="00982F6F">
            <w:pPr>
              <w:jc w:val="right"/>
              <w:rPr>
                <w:rFonts w:asciiTheme="minorHAnsi" w:hAnsiTheme="minorHAnsi" w:cstheme="minorHAnsi"/>
                <w:b/>
                <w:bCs/>
                <w:sz w:val="17"/>
                <w:szCs w:val="17"/>
              </w:rPr>
            </w:pPr>
            <w:r w:rsidRPr="001045B7">
              <w:rPr>
                <w:rFonts w:asciiTheme="minorHAnsi" w:hAnsiTheme="minorHAnsi" w:cstheme="minorHAnsi"/>
                <w:b/>
                <w:bCs/>
                <w:sz w:val="17"/>
                <w:szCs w:val="17"/>
              </w:rPr>
              <w:t xml:space="preserve"> 4,115,617,772 </w:t>
            </w:r>
          </w:p>
        </w:tc>
      </w:tr>
    </w:tbl>
    <w:p w14:paraId="56BA9D03" w14:textId="7B4EE4D8" w:rsidR="0031619F" w:rsidRPr="001045B7" w:rsidRDefault="0031619F" w:rsidP="0031619F">
      <w:pPr>
        <w:pStyle w:val="Prrafodelista"/>
        <w:autoSpaceDE w:val="0"/>
        <w:autoSpaceDN w:val="0"/>
        <w:adjustRightInd w:val="0"/>
        <w:spacing w:before="240" w:after="120"/>
        <w:ind w:left="3402"/>
        <w:jc w:val="both"/>
        <w:rPr>
          <w:rFonts w:asciiTheme="minorHAnsi" w:hAnsiTheme="minorHAnsi" w:cstheme="minorHAnsi"/>
          <w:b/>
          <w:sz w:val="17"/>
          <w:szCs w:val="17"/>
        </w:rPr>
      </w:pPr>
    </w:p>
    <w:p w14:paraId="1CAE2350" w14:textId="77777777" w:rsidR="00B21DA1" w:rsidRPr="001045B7" w:rsidRDefault="00B21DA1" w:rsidP="0031619F">
      <w:pPr>
        <w:pStyle w:val="Prrafodelista"/>
        <w:autoSpaceDE w:val="0"/>
        <w:autoSpaceDN w:val="0"/>
        <w:adjustRightInd w:val="0"/>
        <w:spacing w:before="240" w:after="120"/>
        <w:ind w:left="3402"/>
        <w:jc w:val="both"/>
        <w:rPr>
          <w:rFonts w:asciiTheme="minorHAnsi" w:hAnsiTheme="minorHAnsi" w:cstheme="minorHAnsi"/>
          <w:b/>
          <w:sz w:val="17"/>
          <w:szCs w:val="17"/>
        </w:rPr>
      </w:pPr>
    </w:p>
    <w:p w14:paraId="34E30C21" w14:textId="1D4EBE70" w:rsidR="0031619F" w:rsidRPr="001045B7" w:rsidRDefault="0031619F" w:rsidP="00731906">
      <w:pPr>
        <w:spacing w:line="276" w:lineRule="auto"/>
        <w:jc w:val="both"/>
        <w:rPr>
          <w:rFonts w:asciiTheme="minorHAnsi" w:hAnsiTheme="minorHAnsi" w:cstheme="minorHAnsi"/>
          <w:b/>
          <w:sz w:val="17"/>
          <w:szCs w:val="17"/>
        </w:rPr>
      </w:pPr>
    </w:p>
    <w:p w14:paraId="663A5567" w14:textId="77777777" w:rsidR="0031619F" w:rsidRPr="001045B7" w:rsidRDefault="0031619F" w:rsidP="00731906">
      <w:pPr>
        <w:spacing w:line="276" w:lineRule="auto"/>
        <w:jc w:val="both"/>
        <w:rPr>
          <w:rFonts w:asciiTheme="minorHAnsi" w:hAnsiTheme="minorHAnsi" w:cstheme="minorHAnsi"/>
          <w:b/>
          <w:sz w:val="17"/>
          <w:szCs w:val="17"/>
        </w:rPr>
      </w:pPr>
    </w:p>
    <w:p w14:paraId="57D7E6C5" w14:textId="509E6DC1" w:rsidR="0031619F" w:rsidRPr="001045B7" w:rsidRDefault="0031619F" w:rsidP="00731906">
      <w:pPr>
        <w:spacing w:line="276" w:lineRule="auto"/>
        <w:jc w:val="both"/>
        <w:rPr>
          <w:rFonts w:asciiTheme="minorHAnsi" w:hAnsiTheme="minorHAnsi" w:cstheme="minorHAnsi"/>
          <w:b/>
          <w:sz w:val="17"/>
          <w:szCs w:val="17"/>
        </w:rPr>
      </w:pPr>
    </w:p>
    <w:p w14:paraId="68E56744" w14:textId="033E3E11" w:rsidR="00A82A4B" w:rsidRPr="001045B7" w:rsidRDefault="00A82A4B" w:rsidP="00731906">
      <w:pPr>
        <w:spacing w:line="276" w:lineRule="auto"/>
        <w:jc w:val="both"/>
        <w:rPr>
          <w:rFonts w:asciiTheme="minorHAnsi" w:hAnsiTheme="minorHAnsi" w:cstheme="minorHAnsi"/>
          <w:b/>
          <w:sz w:val="17"/>
          <w:szCs w:val="17"/>
        </w:rPr>
      </w:pPr>
    </w:p>
    <w:p w14:paraId="05DFC535" w14:textId="25C81B37" w:rsidR="00A82A4B" w:rsidRPr="001045B7" w:rsidRDefault="00A82A4B" w:rsidP="00731906">
      <w:pPr>
        <w:spacing w:line="276" w:lineRule="auto"/>
        <w:jc w:val="both"/>
        <w:rPr>
          <w:rFonts w:asciiTheme="minorHAnsi" w:hAnsiTheme="minorHAnsi" w:cstheme="minorHAnsi"/>
          <w:b/>
          <w:sz w:val="17"/>
          <w:szCs w:val="17"/>
        </w:rPr>
      </w:pPr>
    </w:p>
    <w:p w14:paraId="08C8CD33" w14:textId="130081F2" w:rsidR="00A82A4B" w:rsidRPr="001045B7" w:rsidRDefault="00A82A4B" w:rsidP="00731906">
      <w:pPr>
        <w:spacing w:line="276" w:lineRule="auto"/>
        <w:jc w:val="both"/>
        <w:rPr>
          <w:rFonts w:asciiTheme="minorHAnsi" w:hAnsiTheme="minorHAnsi" w:cstheme="minorHAnsi"/>
          <w:b/>
          <w:sz w:val="17"/>
          <w:szCs w:val="17"/>
        </w:rPr>
      </w:pPr>
    </w:p>
    <w:p w14:paraId="18F7C5C8" w14:textId="5C2EED02" w:rsidR="00A82A4B" w:rsidRPr="001045B7" w:rsidRDefault="00A82A4B" w:rsidP="00731906">
      <w:pPr>
        <w:spacing w:line="276" w:lineRule="auto"/>
        <w:jc w:val="both"/>
        <w:rPr>
          <w:rFonts w:asciiTheme="minorHAnsi" w:hAnsiTheme="minorHAnsi" w:cstheme="minorHAnsi"/>
          <w:sz w:val="17"/>
          <w:szCs w:val="17"/>
        </w:rPr>
      </w:pPr>
    </w:p>
    <w:p w14:paraId="0F4759CB" w14:textId="77777777" w:rsidR="00AB3F3C" w:rsidRPr="001045B7" w:rsidRDefault="00AB3F3C" w:rsidP="00731906">
      <w:pPr>
        <w:spacing w:line="276" w:lineRule="auto"/>
        <w:jc w:val="both"/>
        <w:rPr>
          <w:rFonts w:asciiTheme="minorHAnsi" w:hAnsiTheme="minorHAnsi" w:cstheme="minorHAnsi"/>
          <w:sz w:val="17"/>
          <w:szCs w:val="17"/>
        </w:rPr>
      </w:pPr>
    </w:p>
    <w:p w14:paraId="69F7B6B8" w14:textId="06995D7C" w:rsidR="002517AF" w:rsidRPr="001045B7" w:rsidRDefault="002517AF" w:rsidP="00731906">
      <w:pPr>
        <w:spacing w:line="276" w:lineRule="auto"/>
        <w:jc w:val="both"/>
        <w:rPr>
          <w:rFonts w:asciiTheme="minorHAnsi" w:hAnsiTheme="minorHAnsi" w:cstheme="minorHAnsi"/>
          <w:sz w:val="17"/>
          <w:szCs w:val="17"/>
        </w:rPr>
      </w:pPr>
    </w:p>
    <w:p w14:paraId="44A41951" w14:textId="338F6205" w:rsidR="007E010C" w:rsidRPr="001045B7" w:rsidRDefault="007E010C" w:rsidP="00731906">
      <w:pPr>
        <w:spacing w:line="276" w:lineRule="auto"/>
        <w:jc w:val="both"/>
        <w:rPr>
          <w:rFonts w:asciiTheme="minorHAnsi" w:hAnsiTheme="minorHAnsi" w:cstheme="minorHAnsi"/>
          <w:sz w:val="17"/>
          <w:szCs w:val="17"/>
        </w:rPr>
      </w:pPr>
    </w:p>
    <w:p w14:paraId="1EB02113" w14:textId="370B42BB" w:rsidR="007E010C" w:rsidRPr="001045B7" w:rsidRDefault="007E010C" w:rsidP="00731906">
      <w:pPr>
        <w:spacing w:line="276" w:lineRule="auto"/>
        <w:jc w:val="both"/>
        <w:rPr>
          <w:rFonts w:asciiTheme="minorHAnsi" w:hAnsiTheme="minorHAnsi" w:cstheme="minorHAnsi"/>
          <w:sz w:val="17"/>
          <w:szCs w:val="17"/>
        </w:rPr>
      </w:pPr>
    </w:p>
    <w:p w14:paraId="460BD86D" w14:textId="525B8196" w:rsidR="007E010C" w:rsidRPr="001045B7" w:rsidRDefault="007E010C" w:rsidP="00731906">
      <w:pPr>
        <w:spacing w:line="276" w:lineRule="auto"/>
        <w:jc w:val="both"/>
        <w:rPr>
          <w:rFonts w:asciiTheme="minorHAnsi" w:hAnsiTheme="minorHAnsi" w:cstheme="minorHAnsi"/>
          <w:sz w:val="17"/>
          <w:szCs w:val="17"/>
        </w:rPr>
      </w:pPr>
    </w:p>
    <w:p w14:paraId="1B872904" w14:textId="77777777" w:rsidR="007E010C" w:rsidRPr="001045B7" w:rsidRDefault="007E010C" w:rsidP="00731906">
      <w:pPr>
        <w:spacing w:line="276" w:lineRule="auto"/>
        <w:jc w:val="both"/>
        <w:rPr>
          <w:rFonts w:asciiTheme="minorHAnsi" w:hAnsiTheme="minorHAnsi" w:cstheme="minorHAnsi"/>
          <w:sz w:val="17"/>
          <w:szCs w:val="17"/>
        </w:rPr>
      </w:pPr>
    </w:p>
    <w:p w14:paraId="2CEB566D" w14:textId="0598ED3E" w:rsidR="002517AF" w:rsidRPr="001045B7" w:rsidRDefault="002517AF" w:rsidP="00731906">
      <w:pPr>
        <w:spacing w:line="276" w:lineRule="auto"/>
        <w:jc w:val="both"/>
        <w:rPr>
          <w:rFonts w:asciiTheme="minorHAnsi" w:hAnsiTheme="minorHAnsi" w:cstheme="minorHAnsi"/>
          <w:sz w:val="17"/>
          <w:szCs w:val="17"/>
        </w:rPr>
      </w:pPr>
    </w:p>
    <w:p w14:paraId="5489A73B" w14:textId="56C53EEC" w:rsidR="001325A4" w:rsidRPr="001045B7" w:rsidRDefault="00AE4AE6" w:rsidP="00860054">
      <w:pPr>
        <w:pStyle w:val="Prrafodelista"/>
        <w:numPr>
          <w:ilvl w:val="0"/>
          <w:numId w:val="35"/>
        </w:numPr>
        <w:spacing w:line="276" w:lineRule="auto"/>
        <w:jc w:val="both"/>
        <w:rPr>
          <w:rFonts w:asciiTheme="minorHAnsi" w:hAnsiTheme="minorHAnsi" w:cstheme="minorHAnsi"/>
          <w:b/>
          <w:sz w:val="17"/>
          <w:szCs w:val="17"/>
        </w:rPr>
      </w:pPr>
      <w:bookmarkStart w:id="0" w:name="_Hlk188262748"/>
      <w:r w:rsidRPr="001045B7">
        <w:rPr>
          <w:rFonts w:asciiTheme="minorHAnsi" w:hAnsiTheme="minorHAnsi" w:cstheme="minorHAnsi"/>
          <w:b/>
          <w:sz w:val="17"/>
          <w:szCs w:val="17"/>
        </w:rPr>
        <w:lastRenderedPageBreak/>
        <w:t xml:space="preserve">CONCILIACIÓN ENTRE LOS INGRESOS PRESUPUESTARIOS Y CONTABLES, </w:t>
      </w:r>
      <w:r w:rsidR="00AC43C0" w:rsidRPr="001045B7">
        <w:rPr>
          <w:rFonts w:asciiTheme="minorHAnsi" w:hAnsiTheme="minorHAnsi" w:cstheme="minorHAnsi"/>
          <w:b/>
          <w:sz w:val="17"/>
          <w:szCs w:val="17"/>
        </w:rPr>
        <w:t>ASÍ</w:t>
      </w:r>
      <w:r w:rsidRPr="001045B7">
        <w:rPr>
          <w:rFonts w:asciiTheme="minorHAnsi" w:hAnsiTheme="minorHAnsi" w:cstheme="minorHAnsi"/>
          <w:b/>
          <w:sz w:val="17"/>
          <w:szCs w:val="17"/>
        </w:rPr>
        <w:t xml:space="preserve"> COMO ENTRE LOS EGRESOS PRESUPUESTARIOS Y LOS GASTOS CONTABLES</w:t>
      </w:r>
    </w:p>
    <w:p w14:paraId="29EB63FB" w14:textId="1737F021" w:rsidR="001325A4" w:rsidRPr="001045B7" w:rsidRDefault="001325A4" w:rsidP="00860054">
      <w:pPr>
        <w:spacing w:line="276" w:lineRule="auto"/>
        <w:jc w:val="both"/>
        <w:rPr>
          <w:rFonts w:asciiTheme="minorHAnsi" w:hAnsiTheme="minorHAnsi" w:cstheme="minorHAnsi"/>
          <w:sz w:val="17"/>
          <w:szCs w:val="17"/>
        </w:rPr>
      </w:pPr>
    </w:p>
    <w:p w14:paraId="3694BA9F" w14:textId="77777777" w:rsidR="002517AF" w:rsidRPr="001045B7" w:rsidRDefault="002517AF" w:rsidP="00BB4EE4">
      <w:pPr>
        <w:tabs>
          <w:tab w:val="left" w:pos="1187"/>
        </w:tabs>
        <w:spacing w:line="276" w:lineRule="auto"/>
        <w:jc w:val="both"/>
        <w:rPr>
          <w:rFonts w:asciiTheme="minorHAnsi" w:hAnsiTheme="minorHAnsi" w:cstheme="minorHAnsi"/>
          <w:sz w:val="17"/>
          <w:szCs w:val="17"/>
        </w:rPr>
      </w:pPr>
    </w:p>
    <w:p w14:paraId="37FCB820" w14:textId="7E810473" w:rsidR="00BB4EE4" w:rsidRPr="001045B7" w:rsidRDefault="00BB4EE4" w:rsidP="00BB4EE4">
      <w:pPr>
        <w:tabs>
          <w:tab w:val="left" w:pos="1187"/>
        </w:tabs>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La conciliación se presenta atendiendo a lo dispuesto por el “Acuerdo por el que se emite el formato de conciliación entre los ingresos presupuestarios y</w:t>
      </w:r>
    </w:p>
    <w:p w14:paraId="353E3D78" w14:textId="77777777" w:rsidR="00BB4EE4" w:rsidRPr="001045B7" w:rsidRDefault="00BB4EE4" w:rsidP="00BB4EE4">
      <w:pPr>
        <w:tabs>
          <w:tab w:val="left" w:pos="1187"/>
        </w:tabs>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Contables, así como entre los egresos presupuestarios y los gastos contables”:</w:t>
      </w:r>
    </w:p>
    <w:p w14:paraId="7D0D499E" w14:textId="4030C19D" w:rsidR="00BB4EE4" w:rsidRPr="001045B7" w:rsidRDefault="00BB4EE4" w:rsidP="00BB4EE4">
      <w:pPr>
        <w:tabs>
          <w:tab w:val="left" w:pos="1187"/>
        </w:tabs>
        <w:spacing w:line="276" w:lineRule="auto"/>
        <w:jc w:val="both"/>
        <w:rPr>
          <w:rFonts w:asciiTheme="minorHAnsi" w:hAnsiTheme="minorHAnsi" w:cstheme="minorHAnsi"/>
          <w:sz w:val="17"/>
          <w:szCs w:val="17"/>
        </w:rPr>
      </w:pPr>
    </w:p>
    <w:p w14:paraId="2980836C" w14:textId="77777777" w:rsidR="002517AF" w:rsidRPr="001045B7" w:rsidRDefault="002517AF" w:rsidP="00BB4EE4">
      <w:pPr>
        <w:tabs>
          <w:tab w:val="left" w:pos="1187"/>
        </w:tabs>
        <w:spacing w:line="276" w:lineRule="auto"/>
        <w:jc w:val="both"/>
        <w:rPr>
          <w:rFonts w:asciiTheme="minorHAnsi" w:hAnsiTheme="minorHAnsi" w:cstheme="minorHAnsi"/>
          <w:sz w:val="17"/>
          <w:szCs w:val="17"/>
        </w:rPr>
      </w:pPr>
    </w:p>
    <w:p w14:paraId="20E132FC" w14:textId="2D9C60E4" w:rsidR="00BB4EE4" w:rsidRPr="001045B7" w:rsidRDefault="00BB4EE4" w:rsidP="00BB4EE4">
      <w:pPr>
        <w:pStyle w:val="Prrafodelista"/>
        <w:numPr>
          <w:ilvl w:val="0"/>
          <w:numId w:val="37"/>
        </w:numPr>
        <w:tabs>
          <w:tab w:val="left" w:pos="1187"/>
        </w:tabs>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Conciliación entre los Ingresos Presupuestarios y Contables</w:t>
      </w:r>
      <w:r w:rsidRPr="001045B7">
        <w:rPr>
          <w:rFonts w:asciiTheme="minorHAnsi" w:hAnsiTheme="minorHAnsi" w:cstheme="minorHAnsi"/>
          <w:sz w:val="17"/>
          <w:szCs w:val="17"/>
        </w:rPr>
        <w:tab/>
      </w:r>
    </w:p>
    <w:tbl>
      <w:tblPr>
        <w:tblpPr w:leftFromText="141" w:rightFromText="141" w:vertAnchor="text" w:horzAnchor="margin" w:tblpXSpec="center" w:tblpY="18"/>
        <w:tblW w:w="9260" w:type="dxa"/>
        <w:tblCellMar>
          <w:left w:w="70" w:type="dxa"/>
          <w:right w:w="70" w:type="dxa"/>
        </w:tblCellMar>
        <w:tblLook w:val="04A0" w:firstRow="1" w:lastRow="0" w:firstColumn="1" w:lastColumn="0" w:noHBand="0" w:noVBand="1"/>
      </w:tblPr>
      <w:tblGrid>
        <w:gridCol w:w="4900"/>
        <w:gridCol w:w="2180"/>
        <w:gridCol w:w="2180"/>
      </w:tblGrid>
      <w:tr w:rsidR="00BB4EE4" w:rsidRPr="001045B7" w14:paraId="1B209533" w14:textId="77777777" w:rsidTr="00AF6204">
        <w:trPr>
          <w:trHeight w:val="240"/>
        </w:trPr>
        <w:tc>
          <w:tcPr>
            <w:tcW w:w="9260" w:type="dxa"/>
            <w:gridSpan w:val="3"/>
            <w:tcBorders>
              <w:top w:val="nil"/>
              <w:left w:val="nil"/>
              <w:bottom w:val="nil"/>
              <w:right w:val="nil"/>
            </w:tcBorders>
            <w:shd w:val="clear" w:color="000000" w:fill="FFFFFF"/>
            <w:vAlign w:val="center"/>
            <w:hideMark/>
          </w:tcPr>
          <w:p w14:paraId="4898707F" w14:textId="77777777" w:rsidR="00BB4EE4" w:rsidRPr="001045B7" w:rsidRDefault="00BB4EE4" w:rsidP="00AF6204">
            <w:pPr>
              <w:ind w:left="-212"/>
              <w:rPr>
                <w:rFonts w:asciiTheme="minorHAnsi" w:hAnsiTheme="minorHAnsi" w:cstheme="minorHAnsi"/>
                <w:b/>
                <w:bCs/>
                <w:color w:val="000000"/>
                <w:sz w:val="17"/>
                <w:szCs w:val="17"/>
              </w:rPr>
            </w:pPr>
            <w:proofErr w:type="gramStart"/>
            <w:r w:rsidRPr="001045B7">
              <w:rPr>
                <w:rFonts w:asciiTheme="minorHAnsi" w:eastAsia="Calibri" w:hAnsiTheme="minorHAnsi" w:cstheme="minorHAnsi"/>
                <w:b/>
                <w:spacing w:val="-1"/>
                <w:sz w:val="17"/>
                <w:szCs w:val="17"/>
              </w:rPr>
              <w:t xml:space="preserve">(  </w:t>
            </w:r>
            <w:proofErr w:type="gramEnd"/>
            <w:r w:rsidRPr="001045B7">
              <w:rPr>
                <w:rFonts w:asciiTheme="minorHAnsi" w:eastAsia="Calibri" w:hAnsiTheme="minorHAnsi" w:cstheme="minorHAnsi"/>
                <w:b/>
                <w:spacing w:val="-1"/>
                <w:sz w:val="17"/>
                <w:szCs w:val="17"/>
              </w:rPr>
              <w:t xml:space="preserve">                                                                                           (Pesos)</w:t>
            </w:r>
          </w:p>
        </w:tc>
      </w:tr>
      <w:tr w:rsidR="00BB4EE4" w:rsidRPr="001045B7" w14:paraId="29EB3EBE" w14:textId="77777777" w:rsidTr="00AF6204">
        <w:trPr>
          <w:trHeight w:val="240"/>
        </w:trPr>
        <w:tc>
          <w:tcPr>
            <w:tcW w:w="4900" w:type="dxa"/>
            <w:tcBorders>
              <w:top w:val="nil"/>
              <w:left w:val="nil"/>
              <w:bottom w:val="nil"/>
              <w:right w:val="nil"/>
            </w:tcBorders>
            <w:shd w:val="clear" w:color="000000" w:fill="FFFFFF"/>
            <w:vAlign w:val="center"/>
          </w:tcPr>
          <w:p w14:paraId="4C088FEE" w14:textId="77777777" w:rsidR="00BB4EE4" w:rsidRPr="001045B7" w:rsidRDefault="00BB4EE4" w:rsidP="00AF6204">
            <w:pPr>
              <w:rPr>
                <w:rFonts w:asciiTheme="minorHAnsi" w:hAnsiTheme="minorHAnsi" w:cstheme="minorHAnsi"/>
                <w:b/>
                <w:bCs/>
                <w:color w:val="000000"/>
                <w:sz w:val="17"/>
                <w:szCs w:val="17"/>
              </w:rPr>
            </w:pPr>
          </w:p>
        </w:tc>
        <w:tc>
          <w:tcPr>
            <w:tcW w:w="2180" w:type="dxa"/>
            <w:tcBorders>
              <w:top w:val="nil"/>
              <w:left w:val="nil"/>
              <w:bottom w:val="nil"/>
              <w:right w:val="nil"/>
            </w:tcBorders>
            <w:shd w:val="clear" w:color="000000" w:fill="FFFFFF"/>
            <w:vAlign w:val="center"/>
          </w:tcPr>
          <w:p w14:paraId="7F868575" w14:textId="77777777" w:rsidR="00BB4EE4" w:rsidRPr="001045B7" w:rsidRDefault="00BB4EE4" w:rsidP="00AF6204">
            <w:pPr>
              <w:rPr>
                <w:rFonts w:asciiTheme="minorHAnsi" w:hAnsiTheme="minorHAnsi" w:cstheme="minorHAnsi"/>
                <w:b/>
                <w:bCs/>
                <w:color w:val="000000"/>
                <w:sz w:val="17"/>
                <w:szCs w:val="17"/>
              </w:rPr>
            </w:pPr>
          </w:p>
        </w:tc>
        <w:tc>
          <w:tcPr>
            <w:tcW w:w="2180" w:type="dxa"/>
            <w:tcBorders>
              <w:top w:val="nil"/>
              <w:left w:val="nil"/>
              <w:bottom w:val="nil"/>
              <w:right w:val="nil"/>
            </w:tcBorders>
            <w:shd w:val="clear" w:color="000000" w:fill="FFFFFF"/>
            <w:vAlign w:val="center"/>
          </w:tcPr>
          <w:p w14:paraId="66BADE33" w14:textId="77777777" w:rsidR="00BB4EE4" w:rsidRPr="001045B7" w:rsidRDefault="00BB4EE4" w:rsidP="00AF6204">
            <w:pPr>
              <w:rPr>
                <w:rFonts w:asciiTheme="minorHAnsi" w:hAnsiTheme="minorHAnsi" w:cstheme="minorHAnsi"/>
                <w:b/>
                <w:bCs/>
                <w:color w:val="000000"/>
                <w:sz w:val="17"/>
                <w:szCs w:val="17"/>
              </w:rPr>
            </w:pPr>
          </w:p>
        </w:tc>
      </w:tr>
      <w:tr w:rsidR="00BB4EE4" w:rsidRPr="001045B7" w14:paraId="1CD6F354"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D2CE4C" w14:textId="77777777" w:rsidR="00BB4EE4" w:rsidRPr="001045B7" w:rsidRDefault="00BB4EE4" w:rsidP="00AF6204">
            <w:pPr>
              <w:rPr>
                <w:rFonts w:asciiTheme="minorHAnsi" w:hAnsiTheme="minorHAnsi" w:cstheme="minorHAnsi"/>
                <w:b/>
                <w:bCs/>
                <w:color w:val="000000"/>
                <w:sz w:val="17"/>
                <w:szCs w:val="17"/>
              </w:rPr>
            </w:pPr>
            <w:proofErr w:type="spellStart"/>
            <w:r w:rsidRPr="001045B7">
              <w:rPr>
                <w:rFonts w:asciiTheme="minorHAnsi" w:hAnsiTheme="minorHAnsi" w:cstheme="minorHAnsi"/>
                <w:b/>
                <w:bCs/>
                <w:color w:val="000000"/>
                <w:sz w:val="17"/>
                <w:szCs w:val="17"/>
              </w:rPr>
              <w:t>1.Total</w:t>
            </w:r>
            <w:proofErr w:type="spellEnd"/>
            <w:r w:rsidRPr="001045B7">
              <w:rPr>
                <w:rFonts w:asciiTheme="minorHAnsi" w:hAnsiTheme="minorHAnsi" w:cstheme="minorHAnsi"/>
                <w:b/>
                <w:bCs/>
                <w:color w:val="000000"/>
                <w:sz w:val="17"/>
                <w:szCs w:val="17"/>
              </w:rPr>
              <w:t xml:space="preserve"> de Ingresos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2411A30" w14:textId="77777777" w:rsidR="00BB4EE4" w:rsidRPr="001045B7" w:rsidRDefault="00BB4EE4"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6A8CF" w14:textId="40487EAF" w:rsidR="00BB4EE4" w:rsidRPr="001045B7" w:rsidRDefault="00AC43C0"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62,058,532,891</w:t>
            </w:r>
          </w:p>
        </w:tc>
      </w:tr>
      <w:tr w:rsidR="00BB4EE4" w:rsidRPr="001045B7" w14:paraId="3808CC40" w14:textId="77777777" w:rsidTr="00CB13C9">
        <w:trPr>
          <w:trHeight w:val="70"/>
        </w:trPr>
        <w:tc>
          <w:tcPr>
            <w:tcW w:w="4900" w:type="dxa"/>
            <w:tcBorders>
              <w:top w:val="nil"/>
              <w:left w:val="nil"/>
              <w:bottom w:val="nil"/>
              <w:right w:val="nil"/>
            </w:tcBorders>
            <w:shd w:val="clear" w:color="000000" w:fill="FFFFFF"/>
            <w:vAlign w:val="center"/>
            <w:hideMark/>
          </w:tcPr>
          <w:p w14:paraId="7D41A717"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nil"/>
              <w:left w:val="nil"/>
              <w:bottom w:val="nil"/>
              <w:right w:val="nil"/>
            </w:tcBorders>
            <w:shd w:val="clear" w:color="000000" w:fill="FFFFFF"/>
            <w:vAlign w:val="center"/>
            <w:hideMark/>
          </w:tcPr>
          <w:p w14:paraId="5AB42BCB"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nil"/>
              <w:left w:val="nil"/>
              <w:bottom w:val="nil"/>
              <w:right w:val="nil"/>
            </w:tcBorders>
            <w:shd w:val="clear" w:color="000000" w:fill="FFFFFF"/>
            <w:vAlign w:val="center"/>
            <w:hideMark/>
          </w:tcPr>
          <w:p w14:paraId="4D00F020"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r>
      <w:tr w:rsidR="00BB4EE4" w:rsidRPr="001045B7" w14:paraId="5085FB8A"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9077CF"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 Más Ingresos Contables No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5121C1" w14:textId="77777777" w:rsidR="00BB4EE4" w:rsidRPr="001045B7" w:rsidRDefault="00BB4EE4"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88D5FC" w14:textId="35E8E734" w:rsidR="00BB4EE4" w:rsidRPr="001045B7" w:rsidRDefault="002A0B3F"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3,601,170,482</w:t>
            </w:r>
          </w:p>
        </w:tc>
      </w:tr>
      <w:tr w:rsidR="00BB4EE4" w:rsidRPr="001045B7" w14:paraId="1112DA81"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F0FB28D"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 Ingresos Financieros</w:t>
            </w:r>
          </w:p>
        </w:tc>
        <w:tc>
          <w:tcPr>
            <w:tcW w:w="2180" w:type="dxa"/>
            <w:tcBorders>
              <w:top w:val="nil"/>
              <w:left w:val="nil"/>
              <w:bottom w:val="single" w:sz="4" w:space="0" w:color="auto"/>
              <w:right w:val="single" w:sz="4" w:space="0" w:color="auto"/>
            </w:tcBorders>
            <w:shd w:val="clear" w:color="000000" w:fill="FFFFFF"/>
            <w:vAlign w:val="center"/>
          </w:tcPr>
          <w:p w14:paraId="5841A7C2"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hideMark/>
          </w:tcPr>
          <w:p w14:paraId="69CDA3D4"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 </w:t>
            </w:r>
          </w:p>
        </w:tc>
      </w:tr>
      <w:tr w:rsidR="00BB4EE4" w:rsidRPr="001045B7" w14:paraId="70942C5E"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B553C37"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2.2 Incremento por Variación de Inventarios</w:t>
            </w:r>
          </w:p>
        </w:tc>
        <w:tc>
          <w:tcPr>
            <w:tcW w:w="2180" w:type="dxa"/>
            <w:tcBorders>
              <w:top w:val="nil"/>
              <w:left w:val="nil"/>
              <w:bottom w:val="single" w:sz="4" w:space="0" w:color="auto"/>
              <w:right w:val="single" w:sz="4" w:space="0" w:color="auto"/>
            </w:tcBorders>
            <w:shd w:val="clear" w:color="000000" w:fill="FFFFFF"/>
            <w:vAlign w:val="center"/>
          </w:tcPr>
          <w:p w14:paraId="2FF3CA0C"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369AED73"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53F9927D" w14:textId="77777777" w:rsidTr="00AF6204">
        <w:trPr>
          <w:trHeight w:val="48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7F76F8F2"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2.3 Disminución del Exceso de Estimaciones por Pérdida o Deterioro u Obsolescencia</w:t>
            </w:r>
          </w:p>
        </w:tc>
        <w:tc>
          <w:tcPr>
            <w:tcW w:w="2180" w:type="dxa"/>
            <w:tcBorders>
              <w:top w:val="nil"/>
              <w:left w:val="nil"/>
              <w:bottom w:val="single" w:sz="4" w:space="0" w:color="auto"/>
              <w:right w:val="single" w:sz="4" w:space="0" w:color="auto"/>
            </w:tcBorders>
            <w:shd w:val="clear" w:color="000000" w:fill="FFFFFF"/>
            <w:vAlign w:val="center"/>
          </w:tcPr>
          <w:p w14:paraId="12396436"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3EC62EAE"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0702BAC4"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875B7FA"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2.4 Disminución del Exceso de Provisiones</w:t>
            </w:r>
          </w:p>
        </w:tc>
        <w:tc>
          <w:tcPr>
            <w:tcW w:w="2180" w:type="dxa"/>
            <w:tcBorders>
              <w:top w:val="nil"/>
              <w:left w:val="nil"/>
              <w:bottom w:val="single" w:sz="4" w:space="0" w:color="auto"/>
              <w:right w:val="single" w:sz="4" w:space="0" w:color="auto"/>
            </w:tcBorders>
            <w:shd w:val="clear" w:color="000000" w:fill="FFFFFF"/>
            <w:vAlign w:val="center"/>
          </w:tcPr>
          <w:p w14:paraId="471FC13F"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2845560B"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19EFE648"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EC3B1B8"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2.5 Otros Ingresos y Beneficios Varios</w:t>
            </w:r>
          </w:p>
        </w:tc>
        <w:tc>
          <w:tcPr>
            <w:tcW w:w="2180" w:type="dxa"/>
            <w:tcBorders>
              <w:top w:val="nil"/>
              <w:left w:val="nil"/>
              <w:bottom w:val="single" w:sz="4" w:space="0" w:color="auto"/>
              <w:right w:val="single" w:sz="4" w:space="0" w:color="auto"/>
            </w:tcBorders>
            <w:shd w:val="clear" w:color="000000" w:fill="FFFFFF"/>
            <w:vAlign w:val="center"/>
          </w:tcPr>
          <w:p w14:paraId="0485A262" w14:textId="76EFA5E7" w:rsidR="00BB4EE4" w:rsidRPr="001045B7" w:rsidRDefault="008E1D5B"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3,601,170,482</w:t>
            </w:r>
          </w:p>
        </w:tc>
        <w:tc>
          <w:tcPr>
            <w:tcW w:w="2180" w:type="dxa"/>
            <w:tcBorders>
              <w:top w:val="nil"/>
              <w:left w:val="nil"/>
              <w:bottom w:val="single" w:sz="4" w:space="0" w:color="auto"/>
              <w:right w:val="single" w:sz="4" w:space="0" w:color="auto"/>
            </w:tcBorders>
            <w:shd w:val="clear" w:color="000000" w:fill="FFFFFF"/>
            <w:vAlign w:val="center"/>
          </w:tcPr>
          <w:p w14:paraId="15B34878"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2975EA4D"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36224F6"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2.6 Otros Ingresos Contables No Presupuestarios</w:t>
            </w:r>
          </w:p>
        </w:tc>
        <w:tc>
          <w:tcPr>
            <w:tcW w:w="2180" w:type="dxa"/>
            <w:tcBorders>
              <w:top w:val="nil"/>
              <w:left w:val="nil"/>
              <w:bottom w:val="single" w:sz="4" w:space="0" w:color="auto"/>
              <w:right w:val="single" w:sz="4" w:space="0" w:color="auto"/>
            </w:tcBorders>
            <w:shd w:val="clear" w:color="000000" w:fill="FFFFFF"/>
            <w:vAlign w:val="center"/>
          </w:tcPr>
          <w:p w14:paraId="0730ABD1"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713C181C"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66DD101B" w14:textId="77777777" w:rsidTr="00CB13C9">
        <w:trPr>
          <w:trHeight w:val="70"/>
        </w:trPr>
        <w:tc>
          <w:tcPr>
            <w:tcW w:w="4900" w:type="dxa"/>
            <w:tcBorders>
              <w:top w:val="nil"/>
              <w:left w:val="nil"/>
              <w:bottom w:val="nil"/>
              <w:right w:val="nil"/>
            </w:tcBorders>
            <w:shd w:val="clear" w:color="000000" w:fill="FFFFFF"/>
            <w:vAlign w:val="center"/>
            <w:hideMark/>
          </w:tcPr>
          <w:p w14:paraId="2BAA56D4"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80" w:type="dxa"/>
            <w:tcBorders>
              <w:top w:val="nil"/>
              <w:left w:val="nil"/>
              <w:bottom w:val="nil"/>
              <w:right w:val="nil"/>
            </w:tcBorders>
            <w:shd w:val="clear" w:color="000000" w:fill="FFFFFF"/>
            <w:vAlign w:val="center"/>
            <w:hideMark/>
          </w:tcPr>
          <w:p w14:paraId="40D1C81A"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80" w:type="dxa"/>
            <w:tcBorders>
              <w:top w:val="nil"/>
              <w:left w:val="nil"/>
              <w:bottom w:val="nil"/>
              <w:right w:val="nil"/>
            </w:tcBorders>
            <w:shd w:val="clear" w:color="000000" w:fill="FFFFFF"/>
            <w:vAlign w:val="center"/>
            <w:hideMark/>
          </w:tcPr>
          <w:p w14:paraId="4AF6530E"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r>
      <w:tr w:rsidR="00BB4EE4" w:rsidRPr="001045B7" w14:paraId="18169EDA"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BFDBB6" w14:textId="3612F6F9"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3. Menos Ingresos Presupuestarios No Contables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5CB147" w14:textId="77777777" w:rsidR="00BB4EE4" w:rsidRPr="001045B7" w:rsidRDefault="00BB4EE4"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F09DAAA" w14:textId="0A8110C4" w:rsidR="00BB4EE4" w:rsidRPr="001045B7" w:rsidRDefault="00007AF6"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1,706,076,089</w:t>
            </w:r>
          </w:p>
        </w:tc>
      </w:tr>
      <w:tr w:rsidR="00BB4EE4" w:rsidRPr="001045B7" w14:paraId="6BD372F5"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6D8C4AC"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3.1 Aprovechamientos Patrimoniales</w:t>
            </w:r>
          </w:p>
        </w:tc>
        <w:tc>
          <w:tcPr>
            <w:tcW w:w="2180" w:type="dxa"/>
            <w:tcBorders>
              <w:top w:val="nil"/>
              <w:left w:val="nil"/>
              <w:bottom w:val="single" w:sz="4" w:space="0" w:color="auto"/>
              <w:right w:val="single" w:sz="4" w:space="0" w:color="auto"/>
            </w:tcBorders>
            <w:shd w:val="clear" w:color="000000" w:fill="FFFFFF"/>
          </w:tcPr>
          <w:p w14:paraId="34FDCC28" w14:textId="0DD13EC2" w:rsidR="00BB4EE4" w:rsidRPr="001045B7" w:rsidRDefault="00450A68" w:rsidP="00AF6204">
            <w:pPr>
              <w:jc w:val="right"/>
              <w:rPr>
                <w:rFonts w:asciiTheme="minorHAnsi" w:hAnsiTheme="minorHAnsi" w:cstheme="minorHAnsi"/>
                <w:bCs/>
                <w:color w:val="000000"/>
                <w:sz w:val="17"/>
                <w:szCs w:val="17"/>
              </w:rPr>
            </w:pPr>
            <w:r w:rsidRPr="001045B7">
              <w:rPr>
                <w:rFonts w:asciiTheme="minorHAnsi" w:hAnsiTheme="minorHAnsi" w:cstheme="minorHAnsi"/>
                <w:sz w:val="17"/>
                <w:szCs w:val="17"/>
              </w:rPr>
              <w:t xml:space="preserve"> -</w:t>
            </w:r>
            <w:r w:rsidR="00BB4EE4" w:rsidRPr="001045B7">
              <w:rPr>
                <w:rFonts w:asciiTheme="minorHAnsi" w:hAnsiTheme="minorHAnsi" w:cstheme="minorHAnsi"/>
                <w:sz w:val="17"/>
                <w:szCs w:val="17"/>
              </w:rPr>
              <w:t xml:space="preserve"> </w:t>
            </w:r>
          </w:p>
        </w:tc>
        <w:tc>
          <w:tcPr>
            <w:tcW w:w="2180" w:type="dxa"/>
            <w:tcBorders>
              <w:top w:val="nil"/>
              <w:left w:val="nil"/>
              <w:bottom w:val="single" w:sz="4" w:space="0" w:color="auto"/>
              <w:right w:val="single" w:sz="4" w:space="0" w:color="auto"/>
            </w:tcBorders>
            <w:shd w:val="clear" w:color="000000" w:fill="FFFFFF"/>
            <w:vAlign w:val="center"/>
          </w:tcPr>
          <w:p w14:paraId="078DF3ED"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0EAFCD69"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9EE131F"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3.2 Ingresos Derivados de Financiamientos</w:t>
            </w:r>
          </w:p>
        </w:tc>
        <w:tc>
          <w:tcPr>
            <w:tcW w:w="2180" w:type="dxa"/>
            <w:tcBorders>
              <w:top w:val="nil"/>
              <w:left w:val="nil"/>
              <w:bottom w:val="single" w:sz="4" w:space="0" w:color="auto"/>
              <w:right w:val="single" w:sz="4" w:space="0" w:color="auto"/>
            </w:tcBorders>
            <w:shd w:val="clear" w:color="000000" w:fill="FFFFFF"/>
          </w:tcPr>
          <w:p w14:paraId="2D605851" w14:textId="0C94DFD0" w:rsidR="00BB4EE4" w:rsidRPr="001045B7" w:rsidRDefault="00007AF6" w:rsidP="00AF6204">
            <w:pPr>
              <w:jc w:val="right"/>
              <w:rPr>
                <w:rFonts w:asciiTheme="minorHAnsi" w:hAnsiTheme="minorHAnsi" w:cstheme="minorHAnsi"/>
                <w:bCs/>
                <w:color w:val="000000"/>
                <w:sz w:val="17"/>
                <w:szCs w:val="17"/>
              </w:rPr>
            </w:pPr>
            <w:r w:rsidRPr="001045B7">
              <w:rPr>
                <w:rFonts w:asciiTheme="minorHAnsi" w:hAnsiTheme="minorHAnsi" w:cstheme="minorHAnsi"/>
                <w:sz w:val="17"/>
                <w:szCs w:val="17"/>
              </w:rPr>
              <w:t>1,706,076,089</w:t>
            </w:r>
          </w:p>
        </w:tc>
        <w:tc>
          <w:tcPr>
            <w:tcW w:w="2180" w:type="dxa"/>
            <w:tcBorders>
              <w:top w:val="nil"/>
              <w:left w:val="nil"/>
              <w:bottom w:val="single" w:sz="4" w:space="0" w:color="auto"/>
              <w:right w:val="single" w:sz="4" w:space="0" w:color="auto"/>
            </w:tcBorders>
            <w:shd w:val="clear" w:color="000000" w:fill="FFFFFF"/>
            <w:vAlign w:val="center"/>
          </w:tcPr>
          <w:p w14:paraId="6428DCE9"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39CA0484"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967E4CD"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3.3 Otros Ingresos Presupuestarios No Contables</w:t>
            </w:r>
          </w:p>
        </w:tc>
        <w:tc>
          <w:tcPr>
            <w:tcW w:w="2180" w:type="dxa"/>
            <w:tcBorders>
              <w:top w:val="nil"/>
              <w:left w:val="nil"/>
              <w:bottom w:val="single" w:sz="4" w:space="0" w:color="auto"/>
              <w:right w:val="single" w:sz="4" w:space="0" w:color="auto"/>
            </w:tcBorders>
            <w:shd w:val="clear" w:color="000000" w:fill="FFFFFF"/>
            <w:vAlign w:val="center"/>
          </w:tcPr>
          <w:p w14:paraId="71C15407" w14:textId="77777777" w:rsidR="00BB4EE4" w:rsidRPr="001045B7" w:rsidRDefault="00BB4EE4" w:rsidP="00AF6204">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20C17C4B" w14:textId="77777777" w:rsidR="00BB4EE4" w:rsidRPr="001045B7" w:rsidRDefault="00BB4EE4" w:rsidP="00AF6204">
            <w:pPr>
              <w:jc w:val="right"/>
              <w:rPr>
                <w:rFonts w:asciiTheme="minorHAnsi" w:hAnsiTheme="minorHAnsi" w:cstheme="minorHAnsi"/>
                <w:bCs/>
                <w:color w:val="000000"/>
                <w:sz w:val="17"/>
                <w:szCs w:val="17"/>
              </w:rPr>
            </w:pPr>
          </w:p>
        </w:tc>
      </w:tr>
      <w:tr w:rsidR="00BB4EE4" w:rsidRPr="001045B7" w14:paraId="0FE18F1D" w14:textId="77777777" w:rsidTr="00CB13C9">
        <w:trPr>
          <w:trHeight w:val="70"/>
        </w:trPr>
        <w:tc>
          <w:tcPr>
            <w:tcW w:w="4900" w:type="dxa"/>
            <w:tcBorders>
              <w:top w:val="nil"/>
              <w:left w:val="nil"/>
              <w:bottom w:val="nil"/>
              <w:right w:val="nil"/>
            </w:tcBorders>
            <w:shd w:val="clear" w:color="000000" w:fill="FFFFFF"/>
            <w:vAlign w:val="center"/>
            <w:hideMark/>
          </w:tcPr>
          <w:p w14:paraId="161C096F"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80" w:type="dxa"/>
            <w:tcBorders>
              <w:top w:val="nil"/>
              <w:left w:val="nil"/>
              <w:bottom w:val="nil"/>
              <w:right w:val="nil"/>
            </w:tcBorders>
            <w:shd w:val="clear" w:color="000000" w:fill="FFFFFF"/>
            <w:vAlign w:val="center"/>
            <w:hideMark/>
          </w:tcPr>
          <w:p w14:paraId="4CA293C2"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80" w:type="dxa"/>
            <w:tcBorders>
              <w:top w:val="nil"/>
              <w:left w:val="nil"/>
              <w:bottom w:val="nil"/>
              <w:right w:val="nil"/>
            </w:tcBorders>
            <w:shd w:val="clear" w:color="000000" w:fill="FFFFFF"/>
            <w:vAlign w:val="center"/>
            <w:hideMark/>
          </w:tcPr>
          <w:p w14:paraId="140B484E"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r>
      <w:tr w:rsidR="00BB4EE4" w:rsidRPr="001045B7" w14:paraId="5C5D27BF"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3BF68B"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xml:space="preserve">4. Total de Ingresos Contables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6E1661" w14:textId="77777777" w:rsidR="00BB4EE4" w:rsidRPr="001045B7" w:rsidRDefault="00BB4EE4"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5D3F95" w14:textId="68A48E28" w:rsidR="00BB4EE4" w:rsidRPr="001045B7" w:rsidRDefault="008E1D5B"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63,953,627,284</w:t>
            </w:r>
          </w:p>
        </w:tc>
      </w:tr>
    </w:tbl>
    <w:p w14:paraId="53CB5C81" w14:textId="77777777"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23040E9A" w14:textId="72050FB3"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47383033" w14:textId="30DA9B0D"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4D7B01B6" w14:textId="2231AC62"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66AEF46E" w14:textId="27CF5DA2"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5947DDC7" w14:textId="0BAE285C"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334F075F" w14:textId="5D765081"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1EFB3A6F" w14:textId="420819D6"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4BD3F15F" w14:textId="75A96018"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7DD870C0" w14:textId="7D21ECCF"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1986BE8F" w14:textId="3B36BA87"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3D9EB3C5" w14:textId="50E0DAD0"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5D3736BA" w14:textId="75EF403A"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767FDE04" w14:textId="2DF45106"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10D51BB7" w14:textId="5447AC78"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5CB05A33" w14:textId="2DA64FFC"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60573C4E" w14:textId="33D90EE9"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291DD384" w14:textId="178BDB25"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6B62D495" w14:textId="380AE4F8" w:rsidR="00AF32DC" w:rsidRPr="001045B7" w:rsidRDefault="00AF32DC" w:rsidP="00BB4EE4">
      <w:pPr>
        <w:tabs>
          <w:tab w:val="left" w:pos="1187"/>
        </w:tabs>
        <w:spacing w:line="276" w:lineRule="auto"/>
        <w:jc w:val="both"/>
        <w:rPr>
          <w:rFonts w:asciiTheme="minorHAnsi" w:hAnsiTheme="minorHAnsi" w:cstheme="minorHAnsi"/>
          <w:b/>
          <w:sz w:val="17"/>
          <w:szCs w:val="17"/>
        </w:rPr>
      </w:pPr>
    </w:p>
    <w:p w14:paraId="65491D88" w14:textId="022DFBA3" w:rsidR="00BB4EE4" w:rsidRPr="001045B7" w:rsidRDefault="00BB4EE4" w:rsidP="00BB4EE4">
      <w:pPr>
        <w:tabs>
          <w:tab w:val="left" w:pos="1187"/>
        </w:tabs>
        <w:spacing w:line="276" w:lineRule="auto"/>
        <w:jc w:val="both"/>
        <w:rPr>
          <w:rFonts w:asciiTheme="minorHAnsi" w:hAnsiTheme="minorHAnsi" w:cstheme="minorHAnsi"/>
          <w:b/>
          <w:sz w:val="17"/>
          <w:szCs w:val="17"/>
        </w:rPr>
      </w:pPr>
    </w:p>
    <w:p w14:paraId="391B4534" w14:textId="2B984172" w:rsidR="002517AF" w:rsidRPr="001045B7" w:rsidRDefault="002517AF" w:rsidP="00BB4EE4">
      <w:pPr>
        <w:tabs>
          <w:tab w:val="left" w:pos="1187"/>
        </w:tabs>
        <w:spacing w:line="276" w:lineRule="auto"/>
        <w:jc w:val="both"/>
        <w:rPr>
          <w:rFonts w:asciiTheme="minorHAnsi" w:hAnsiTheme="minorHAnsi" w:cstheme="minorHAnsi"/>
          <w:b/>
          <w:sz w:val="17"/>
          <w:szCs w:val="17"/>
        </w:rPr>
      </w:pPr>
    </w:p>
    <w:p w14:paraId="0B1382D1" w14:textId="068E3B96"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19908AB0" w14:textId="59254752"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062DF646" w14:textId="2C4D9AF8"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383EF722" w14:textId="629BA16D"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078CB6C8" w14:textId="3C4CC483"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681BB5B9" w14:textId="0A1755C6"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3C423F0F" w14:textId="5479E9C8"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640A747F" w14:textId="002419FC"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040596F7" w14:textId="657D40F8"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11325DFF" w14:textId="544CC28C"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1FD05691" w14:textId="1695CD1F"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0BEAECF1" w14:textId="77777777" w:rsidR="0011284C" w:rsidRPr="001045B7" w:rsidRDefault="0011284C" w:rsidP="00BB4EE4">
      <w:pPr>
        <w:tabs>
          <w:tab w:val="left" w:pos="1187"/>
        </w:tabs>
        <w:spacing w:line="276" w:lineRule="auto"/>
        <w:jc w:val="both"/>
        <w:rPr>
          <w:rFonts w:asciiTheme="minorHAnsi" w:hAnsiTheme="minorHAnsi" w:cstheme="minorHAnsi"/>
          <w:b/>
          <w:sz w:val="17"/>
          <w:szCs w:val="17"/>
        </w:rPr>
      </w:pPr>
    </w:p>
    <w:p w14:paraId="37B87814" w14:textId="3078E840" w:rsidR="00BB4EE4" w:rsidRPr="001045B7" w:rsidRDefault="00BB4EE4" w:rsidP="00BB4EE4">
      <w:pPr>
        <w:pStyle w:val="Prrafodelista"/>
        <w:numPr>
          <w:ilvl w:val="0"/>
          <w:numId w:val="37"/>
        </w:numPr>
        <w:tabs>
          <w:tab w:val="left" w:pos="1187"/>
        </w:tabs>
        <w:spacing w:line="276" w:lineRule="auto"/>
        <w:jc w:val="both"/>
        <w:rPr>
          <w:rFonts w:asciiTheme="minorHAnsi" w:hAnsiTheme="minorHAnsi" w:cstheme="minorHAnsi"/>
          <w:b/>
          <w:sz w:val="17"/>
          <w:szCs w:val="17"/>
        </w:rPr>
      </w:pPr>
      <w:r w:rsidRPr="001045B7">
        <w:rPr>
          <w:rFonts w:asciiTheme="minorHAnsi" w:hAnsiTheme="minorHAnsi" w:cstheme="minorHAnsi"/>
          <w:b/>
          <w:sz w:val="17"/>
          <w:szCs w:val="17"/>
        </w:rPr>
        <w:lastRenderedPageBreak/>
        <w:t>Conciliación entre los Egresos Presupuestarios y los Gastos Contables</w:t>
      </w:r>
    </w:p>
    <w:p w14:paraId="22FC7715" w14:textId="479F9C75" w:rsidR="00BB4EE4" w:rsidRPr="001045B7" w:rsidRDefault="00BB4EE4" w:rsidP="00BB4EE4">
      <w:pPr>
        <w:tabs>
          <w:tab w:val="left" w:pos="1187"/>
        </w:tabs>
        <w:spacing w:line="276" w:lineRule="auto"/>
        <w:jc w:val="both"/>
        <w:rPr>
          <w:rFonts w:asciiTheme="minorHAnsi" w:hAnsiTheme="minorHAnsi" w:cstheme="minorHAnsi"/>
          <w:b/>
          <w:sz w:val="17"/>
          <w:szCs w:val="17"/>
        </w:rPr>
      </w:pPr>
    </w:p>
    <w:tbl>
      <w:tblPr>
        <w:tblW w:w="9714" w:type="dxa"/>
        <w:jc w:val="center"/>
        <w:tblCellMar>
          <w:left w:w="70" w:type="dxa"/>
          <w:right w:w="70" w:type="dxa"/>
        </w:tblCellMar>
        <w:tblLook w:val="04A0" w:firstRow="1" w:lastRow="0" w:firstColumn="1" w:lastColumn="0" w:noHBand="0" w:noVBand="1"/>
      </w:tblPr>
      <w:tblGrid>
        <w:gridCol w:w="5665"/>
        <w:gridCol w:w="2126"/>
        <w:gridCol w:w="1923"/>
      </w:tblGrid>
      <w:tr w:rsidR="00BB4EE4" w:rsidRPr="001045B7" w14:paraId="5D17C433"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51DC37"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1. Total de Egresos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79F103" w14:textId="77777777" w:rsidR="00BB4EE4" w:rsidRPr="001045B7" w:rsidRDefault="00BB4EE4" w:rsidP="00AF6204">
            <w:pPr>
              <w:jc w:val="right"/>
              <w:rPr>
                <w:rFonts w:asciiTheme="minorHAnsi" w:hAnsiTheme="minorHAnsi" w:cstheme="minorHAnsi"/>
                <w:b/>
                <w:bCs/>
                <w:color w:val="000000"/>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71FE16C" w14:textId="46A5FF5D" w:rsidR="00BB4EE4" w:rsidRPr="001045B7" w:rsidRDefault="00AC43C0"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62,411,488,566</w:t>
            </w:r>
          </w:p>
        </w:tc>
      </w:tr>
      <w:tr w:rsidR="00BB4EE4" w:rsidRPr="001045B7" w14:paraId="1F99A0FD" w14:textId="77777777" w:rsidTr="00AF6204">
        <w:trPr>
          <w:trHeight w:val="240"/>
          <w:jc w:val="center"/>
        </w:trPr>
        <w:tc>
          <w:tcPr>
            <w:tcW w:w="5665" w:type="dxa"/>
            <w:tcBorders>
              <w:top w:val="nil"/>
              <w:left w:val="nil"/>
              <w:bottom w:val="nil"/>
              <w:right w:val="nil"/>
            </w:tcBorders>
            <w:shd w:val="clear" w:color="000000" w:fill="FFFFFF"/>
            <w:vAlign w:val="center"/>
            <w:hideMark/>
          </w:tcPr>
          <w:p w14:paraId="73CEBBCE"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26" w:type="dxa"/>
            <w:tcBorders>
              <w:top w:val="nil"/>
              <w:left w:val="nil"/>
              <w:bottom w:val="nil"/>
              <w:right w:val="nil"/>
            </w:tcBorders>
            <w:shd w:val="clear" w:color="000000" w:fill="FFFFFF"/>
            <w:vAlign w:val="center"/>
          </w:tcPr>
          <w:p w14:paraId="5D07C186" w14:textId="77777777" w:rsidR="00BB4EE4" w:rsidRPr="001045B7" w:rsidRDefault="00BB4EE4" w:rsidP="00AF6204">
            <w:pPr>
              <w:jc w:val="right"/>
              <w:rPr>
                <w:rFonts w:asciiTheme="minorHAnsi" w:hAnsiTheme="minorHAnsi" w:cstheme="minorHAnsi"/>
                <w:b/>
                <w:bCs/>
                <w:color w:val="000000"/>
                <w:sz w:val="17"/>
                <w:szCs w:val="17"/>
              </w:rPr>
            </w:pPr>
          </w:p>
        </w:tc>
        <w:tc>
          <w:tcPr>
            <w:tcW w:w="1923" w:type="dxa"/>
            <w:tcBorders>
              <w:top w:val="nil"/>
              <w:left w:val="nil"/>
              <w:bottom w:val="nil"/>
              <w:right w:val="nil"/>
            </w:tcBorders>
            <w:shd w:val="clear" w:color="000000" w:fill="FFFFFF"/>
            <w:vAlign w:val="center"/>
          </w:tcPr>
          <w:p w14:paraId="0D981CE8" w14:textId="77777777" w:rsidR="00BB4EE4" w:rsidRPr="001045B7" w:rsidRDefault="00BB4EE4" w:rsidP="00AF6204">
            <w:pPr>
              <w:jc w:val="right"/>
              <w:rPr>
                <w:rFonts w:asciiTheme="minorHAnsi" w:hAnsiTheme="minorHAnsi" w:cstheme="minorHAnsi"/>
                <w:b/>
                <w:bCs/>
                <w:color w:val="000000"/>
                <w:sz w:val="17"/>
                <w:szCs w:val="17"/>
              </w:rPr>
            </w:pPr>
          </w:p>
        </w:tc>
      </w:tr>
      <w:tr w:rsidR="00BB4EE4" w:rsidRPr="001045B7" w14:paraId="51A6ED6D"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C1BFEE"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2. Menos Egresos Presupuestarios No Contables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14:paraId="1AED0C3E" w14:textId="77777777" w:rsidR="00BB4EE4" w:rsidRPr="001045B7" w:rsidRDefault="00BB4EE4" w:rsidP="00AF6204">
            <w:pPr>
              <w:jc w:val="right"/>
              <w:rPr>
                <w:rFonts w:asciiTheme="minorHAnsi" w:hAnsiTheme="minorHAnsi" w:cstheme="minorHAnsi"/>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tcPr>
          <w:p w14:paraId="12FB66E4" w14:textId="383E34D5" w:rsidR="00BB4EE4" w:rsidRPr="001045B7" w:rsidRDefault="00AC43C0"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4,638,031,008</w:t>
            </w:r>
          </w:p>
        </w:tc>
      </w:tr>
      <w:tr w:rsidR="00BB4EE4" w:rsidRPr="001045B7" w14:paraId="56DB3AFC"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EF5C12"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 Materias Primas y Materiales de Producción y Comercialización</w:t>
            </w:r>
          </w:p>
        </w:tc>
        <w:tc>
          <w:tcPr>
            <w:tcW w:w="2126" w:type="dxa"/>
            <w:tcBorders>
              <w:top w:val="nil"/>
              <w:left w:val="nil"/>
              <w:bottom w:val="single" w:sz="4" w:space="0" w:color="auto"/>
              <w:right w:val="single" w:sz="4" w:space="0" w:color="auto"/>
            </w:tcBorders>
            <w:shd w:val="clear" w:color="000000" w:fill="FFFFFF"/>
          </w:tcPr>
          <w:p w14:paraId="78ABE079"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74CF7C2A" w14:textId="77777777" w:rsidR="00BB4EE4" w:rsidRPr="001045B7" w:rsidRDefault="00BB4EE4" w:rsidP="00AF6204">
            <w:pPr>
              <w:jc w:val="right"/>
              <w:rPr>
                <w:rFonts w:asciiTheme="minorHAnsi" w:hAnsiTheme="minorHAnsi" w:cstheme="minorHAnsi"/>
                <w:sz w:val="17"/>
                <w:szCs w:val="17"/>
              </w:rPr>
            </w:pPr>
          </w:p>
        </w:tc>
      </w:tr>
      <w:tr w:rsidR="00BB4EE4" w:rsidRPr="001045B7" w14:paraId="2FE3D00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372CCC2"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2.2 Materiales y Suministros</w:t>
            </w:r>
          </w:p>
        </w:tc>
        <w:tc>
          <w:tcPr>
            <w:tcW w:w="2126" w:type="dxa"/>
            <w:tcBorders>
              <w:top w:val="nil"/>
              <w:left w:val="nil"/>
              <w:bottom w:val="single" w:sz="4" w:space="0" w:color="auto"/>
              <w:right w:val="single" w:sz="4" w:space="0" w:color="auto"/>
            </w:tcBorders>
            <w:shd w:val="clear" w:color="000000" w:fill="FFFFFF"/>
          </w:tcPr>
          <w:p w14:paraId="562607F1"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0C0B7DBF" w14:textId="77777777" w:rsidR="00BB4EE4" w:rsidRPr="001045B7" w:rsidRDefault="00BB4EE4" w:rsidP="00AF6204">
            <w:pPr>
              <w:jc w:val="right"/>
              <w:rPr>
                <w:rFonts w:asciiTheme="minorHAnsi" w:hAnsiTheme="minorHAnsi" w:cstheme="minorHAnsi"/>
                <w:sz w:val="17"/>
                <w:szCs w:val="17"/>
              </w:rPr>
            </w:pPr>
          </w:p>
        </w:tc>
      </w:tr>
      <w:tr w:rsidR="00AC43C0" w:rsidRPr="001045B7" w14:paraId="72F8E77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B01C2B"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2.3 Mobiliario y Equipo de Administración</w:t>
            </w:r>
          </w:p>
        </w:tc>
        <w:tc>
          <w:tcPr>
            <w:tcW w:w="2126" w:type="dxa"/>
            <w:tcBorders>
              <w:top w:val="nil"/>
              <w:left w:val="nil"/>
              <w:bottom w:val="single" w:sz="4" w:space="0" w:color="auto"/>
              <w:right w:val="single" w:sz="4" w:space="0" w:color="auto"/>
            </w:tcBorders>
            <w:shd w:val="clear" w:color="000000" w:fill="FFFFFF"/>
          </w:tcPr>
          <w:p w14:paraId="6C357AFB" w14:textId="5F514CC7"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58,027,224 </w:t>
            </w:r>
          </w:p>
        </w:tc>
        <w:tc>
          <w:tcPr>
            <w:tcW w:w="1923" w:type="dxa"/>
            <w:tcBorders>
              <w:top w:val="nil"/>
              <w:left w:val="nil"/>
              <w:bottom w:val="single" w:sz="4" w:space="0" w:color="auto"/>
              <w:right w:val="single" w:sz="4" w:space="0" w:color="auto"/>
            </w:tcBorders>
            <w:shd w:val="clear" w:color="000000" w:fill="FFFFFF"/>
          </w:tcPr>
          <w:p w14:paraId="5ABBD576" w14:textId="77777777" w:rsidR="00AC43C0" w:rsidRPr="001045B7" w:rsidRDefault="00AC43C0" w:rsidP="00AC43C0">
            <w:pPr>
              <w:jc w:val="right"/>
              <w:rPr>
                <w:rFonts w:asciiTheme="minorHAnsi" w:hAnsiTheme="minorHAnsi" w:cstheme="minorHAnsi"/>
                <w:sz w:val="17"/>
                <w:szCs w:val="17"/>
              </w:rPr>
            </w:pPr>
          </w:p>
        </w:tc>
      </w:tr>
      <w:tr w:rsidR="00AC43C0" w:rsidRPr="001045B7" w14:paraId="65D9B165" w14:textId="77777777" w:rsidTr="00AF6204">
        <w:trPr>
          <w:trHeight w:val="126"/>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D45A4E"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2.4 Mobiliario y Equipo Educacional y Recreativo</w:t>
            </w:r>
          </w:p>
        </w:tc>
        <w:tc>
          <w:tcPr>
            <w:tcW w:w="2126" w:type="dxa"/>
            <w:tcBorders>
              <w:top w:val="nil"/>
              <w:left w:val="nil"/>
              <w:bottom w:val="single" w:sz="4" w:space="0" w:color="auto"/>
              <w:right w:val="single" w:sz="4" w:space="0" w:color="auto"/>
            </w:tcBorders>
            <w:shd w:val="clear" w:color="000000" w:fill="FFFFFF"/>
          </w:tcPr>
          <w:p w14:paraId="5A994444" w14:textId="63945DC6"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6,079,270 </w:t>
            </w:r>
          </w:p>
        </w:tc>
        <w:tc>
          <w:tcPr>
            <w:tcW w:w="1923" w:type="dxa"/>
            <w:tcBorders>
              <w:top w:val="nil"/>
              <w:left w:val="nil"/>
              <w:bottom w:val="single" w:sz="4" w:space="0" w:color="auto"/>
              <w:right w:val="single" w:sz="4" w:space="0" w:color="auto"/>
            </w:tcBorders>
            <w:shd w:val="clear" w:color="000000" w:fill="FFFFFF"/>
          </w:tcPr>
          <w:p w14:paraId="44DCCE0D" w14:textId="77777777" w:rsidR="00AC43C0" w:rsidRPr="001045B7" w:rsidRDefault="00AC43C0" w:rsidP="00AC43C0">
            <w:pPr>
              <w:jc w:val="right"/>
              <w:rPr>
                <w:rFonts w:asciiTheme="minorHAnsi" w:hAnsiTheme="minorHAnsi" w:cstheme="minorHAnsi"/>
                <w:sz w:val="17"/>
                <w:szCs w:val="17"/>
              </w:rPr>
            </w:pPr>
          </w:p>
        </w:tc>
      </w:tr>
      <w:tr w:rsidR="00AC43C0" w:rsidRPr="001045B7" w14:paraId="11D36932"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776660"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2.5 Equipo e Instrumental Médico y de Laboratorio</w:t>
            </w:r>
          </w:p>
        </w:tc>
        <w:tc>
          <w:tcPr>
            <w:tcW w:w="2126" w:type="dxa"/>
            <w:tcBorders>
              <w:top w:val="nil"/>
              <w:left w:val="nil"/>
              <w:bottom w:val="single" w:sz="4" w:space="0" w:color="auto"/>
              <w:right w:val="single" w:sz="4" w:space="0" w:color="auto"/>
            </w:tcBorders>
            <w:shd w:val="clear" w:color="000000" w:fill="FFFFFF"/>
          </w:tcPr>
          <w:p w14:paraId="5E9F6649" w14:textId="67E4C62E"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842,205 </w:t>
            </w:r>
          </w:p>
        </w:tc>
        <w:tc>
          <w:tcPr>
            <w:tcW w:w="1923" w:type="dxa"/>
            <w:tcBorders>
              <w:top w:val="nil"/>
              <w:left w:val="nil"/>
              <w:bottom w:val="single" w:sz="4" w:space="0" w:color="auto"/>
              <w:right w:val="single" w:sz="4" w:space="0" w:color="auto"/>
            </w:tcBorders>
            <w:shd w:val="clear" w:color="000000" w:fill="FFFFFF"/>
          </w:tcPr>
          <w:p w14:paraId="2423F0A3" w14:textId="77777777" w:rsidR="00AC43C0" w:rsidRPr="001045B7" w:rsidRDefault="00AC43C0" w:rsidP="00AC43C0">
            <w:pPr>
              <w:jc w:val="right"/>
              <w:rPr>
                <w:rFonts w:asciiTheme="minorHAnsi" w:hAnsiTheme="minorHAnsi" w:cstheme="minorHAnsi"/>
                <w:sz w:val="17"/>
                <w:szCs w:val="17"/>
              </w:rPr>
            </w:pPr>
          </w:p>
        </w:tc>
      </w:tr>
      <w:tr w:rsidR="00AC43C0" w:rsidRPr="001045B7" w14:paraId="31637FDD"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6775DAE"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2.6 Vehículos y Equipo de Transporte</w:t>
            </w:r>
          </w:p>
        </w:tc>
        <w:tc>
          <w:tcPr>
            <w:tcW w:w="2126" w:type="dxa"/>
            <w:tcBorders>
              <w:top w:val="nil"/>
              <w:left w:val="nil"/>
              <w:bottom w:val="single" w:sz="4" w:space="0" w:color="auto"/>
              <w:right w:val="single" w:sz="4" w:space="0" w:color="auto"/>
            </w:tcBorders>
            <w:shd w:val="clear" w:color="000000" w:fill="FFFFFF"/>
          </w:tcPr>
          <w:p w14:paraId="5C51D718" w14:textId="15744AB0"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71,121,523 </w:t>
            </w:r>
          </w:p>
        </w:tc>
        <w:tc>
          <w:tcPr>
            <w:tcW w:w="1923" w:type="dxa"/>
            <w:tcBorders>
              <w:top w:val="nil"/>
              <w:left w:val="nil"/>
              <w:bottom w:val="single" w:sz="4" w:space="0" w:color="auto"/>
              <w:right w:val="single" w:sz="4" w:space="0" w:color="auto"/>
            </w:tcBorders>
            <w:shd w:val="clear" w:color="000000" w:fill="FFFFFF"/>
          </w:tcPr>
          <w:p w14:paraId="4AB5895D" w14:textId="77777777" w:rsidR="00AC43C0" w:rsidRPr="001045B7" w:rsidRDefault="00AC43C0" w:rsidP="00AC43C0">
            <w:pPr>
              <w:jc w:val="right"/>
              <w:rPr>
                <w:rFonts w:asciiTheme="minorHAnsi" w:hAnsiTheme="minorHAnsi" w:cstheme="minorHAnsi"/>
                <w:sz w:val="17"/>
                <w:szCs w:val="17"/>
              </w:rPr>
            </w:pPr>
          </w:p>
        </w:tc>
      </w:tr>
      <w:tr w:rsidR="00AC43C0" w:rsidRPr="001045B7" w14:paraId="0B3863A2"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2D1B46"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2.7 Equipo de Defensa y Seguridad</w:t>
            </w:r>
          </w:p>
        </w:tc>
        <w:tc>
          <w:tcPr>
            <w:tcW w:w="2126" w:type="dxa"/>
            <w:tcBorders>
              <w:top w:val="nil"/>
              <w:left w:val="nil"/>
              <w:bottom w:val="single" w:sz="4" w:space="0" w:color="auto"/>
              <w:right w:val="single" w:sz="4" w:space="0" w:color="auto"/>
            </w:tcBorders>
            <w:shd w:val="clear" w:color="000000" w:fill="FFFFFF"/>
          </w:tcPr>
          <w:p w14:paraId="4A7C2C0A" w14:textId="2D8C7B21"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683,820 </w:t>
            </w:r>
          </w:p>
        </w:tc>
        <w:tc>
          <w:tcPr>
            <w:tcW w:w="1923" w:type="dxa"/>
            <w:tcBorders>
              <w:top w:val="nil"/>
              <w:left w:val="nil"/>
              <w:bottom w:val="single" w:sz="4" w:space="0" w:color="auto"/>
              <w:right w:val="single" w:sz="4" w:space="0" w:color="auto"/>
            </w:tcBorders>
            <w:shd w:val="clear" w:color="000000" w:fill="FFFFFF"/>
          </w:tcPr>
          <w:p w14:paraId="18B24CC8" w14:textId="77777777" w:rsidR="00AC43C0" w:rsidRPr="001045B7" w:rsidRDefault="00AC43C0" w:rsidP="00AC43C0">
            <w:pPr>
              <w:jc w:val="right"/>
              <w:rPr>
                <w:rFonts w:asciiTheme="minorHAnsi" w:hAnsiTheme="minorHAnsi" w:cstheme="minorHAnsi"/>
                <w:sz w:val="17"/>
                <w:szCs w:val="17"/>
              </w:rPr>
            </w:pPr>
          </w:p>
        </w:tc>
      </w:tr>
      <w:tr w:rsidR="00AC43C0" w:rsidRPr="001045B7" w14:paraId="3421A0E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530290" w14:textId="77777777" w:rsidR="00AC43C0" w:rsidRPr="001045B7" w:rsidRDefault="00AC43C0" w:rsidP="00AC43C0">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2.8 Maquinaria, Otros Equipos y Herramientas</w:t>
            </w:r>
          </w:p>
        </w:tc>
        <w:tc>
          <w:tcPr>
            <w:tcW w:w="2126" w:type="dxa"/>
            <w:tcBorders>
              <w:top w:val="nil"/>
              <w:left w:val="nil"/>
              <w:bottom w:val="single" w:sz="4" w:space="0" w:color="auto"/>
              <w:right w:val="single" w:sz="4" w:space="0" w:color="auto"/>
            </w:tcBorders>
            <w:shd w:val="clear" w:color="000000" w:fill="FFFFFF"/>
          </w:tcPr>
          <w:p w14:paraId="44961771" w14:textId="53796D58" w:rsidR="00AC43C0" w:rsidRPr="001045B7" w:rsidRDefault="00AC43C0" w:rsidP="00AC43C0">
            <w:pPr>
              <w:jc w:val="right"/>
              <w:rPr>
                <w:rFonts w:asciiTheme="minorHAnsi" w:hAnsiTheme="minorHAnsi" w:cstheme="minorHAnsi"/>
                <w:sz w:val="17"/>
                <w:szCs w:val="17"/>
              </w:rPr>
            </w:pPr>
            <w:r w:rsidRPr="001045B7">
              <w:rPr>
                <w:rFonts w:asciiTheme="minorHAnsi" w:hAnsiTheme="minorHAnsi" w:cstheme="minorHAnsi"/>
                <w:sz w:val="17"/>
                <w:szCs w:val="17"/>
              </w:rPr>
              <w:t xml:space="preserve"> 32,053,704 </w:t>
            </w:r>
          </w:p>
        </w:tc>
        <w:tc>
          <w:tcPr>
            <w:tcW w:w="1923" w:type="dxa"/>
            <w:tcBorders>
              <w:top w:val="nil"/>
              <w:left w:val="nil"/>
              <w:bottom w:val="single" w:sz="4" w:space="0" w:color="auto"/>
              <w:right w:val="single" w:sz="4" w:space="0" w:color="auto"/>
            </w:tcBorders>
            <w:shd w:val="clear" w:color="000000" w:fill="FFFFFF"/>
          </w:tcPr>
          <w:p w14:paraId="4D0E2EAE" w14:textId="77777777" w:rsidR="00AC43C0" w:rsidRPr="001045B7" w:rsidRDefault="00AC43C0" w:rsidP="00AC43C0">
            <w:pPr>
              <w:jc w:val="right"/>
              <w:rPr>
                <w:rFonts w:asciiTheme="minorHAnsi" w:hAnsiTheme="minorHAnsi" w:cstheme="minorHAnsi"/>
                <w:sz w:val="17"/>
                <w:szCs w:val="17"/>
              </w:rPr>
            </w:pPr>
          </w:p>
        </w:tc>
      </w:tr>
      <w:tr w:rsidR="00BB4EE4" w:rsidRPr="001045B7" w14:paraId="184C419D"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259F26"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2.9 Activos Biológicos</w:t>
            </w:r>
          </w:p>
        </w:tc>
        <w:tc>
          <w:tcPr>
            <w:tcW w:w="2126" w:type="dxa"/>
            <w:tcBorders>
              <w:top w:val="nil"/>
              <w:left w:val="nil"/>
              <w:bottom w:val="single" w:sz="4" w:space="0" w:color="auto"/>
              <w:right w:val="single" w:sz="4" w:space="0" w:color="auto"/>
            </w:tcBorders>
            <w:shd w:val="clear" w:color="000000" w:fill="FFFFFF"/>
          </w:tcPr>
          <w:p w14:paraId="03572C41"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42497CF9" w14:textId="77777777" w:rsidR="00BB4EE4" w:rsidRPr="001045B7" w:rsidRDefault="00BB4EE4" w:rsidP="00AF6204">
            <w:pPr>
              <w:jc w:val="right"/>
              <w:rPr>
                <w:rFonts w:asciiTheme="minorHAnsi" w:hAnsiTheme="minorHAnsi" w:cstheme="minorHAnsi"/>
                <w:sz w:val="17"/>
                <w:szCs w:val="17"/>
              </w:rPr>
            </w:pPr>
          </w:p>
        </w:tc>
      </w:tr>
      <w:tr w:rsidR="00D913FB" w:rsidRPr="001045B7" w14:paraId="18C43F77"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07DDFC1" w14:textId="77777777" w:rsidR="00D913FB" w:rsidRPr="001045B7" w:rsidRDefault="00D913FB" w:rsidP="00D913FB">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2.10 Bienes Inmuebles</w:t>
            </w:r>
          </w:p>
        </w:tc>
        <w:tc>
          <w:tcPr>
            <w:tcW w:w="2126" w:type="dxa"/>
            <w:tcBorders>
              <w:top w:val="nil"/>
              <w:left w:val="nil"/>
              <w:bottom w:val="single" w:sz="4" w:space="0" w:color="auto"/>
              <w:right w:val="single" w:sz="4" w:space="0" w:color="auto"/>
            </w:tcBorders>
            <w:shd w:val="clear" w:color="000000" w:fill="FFFFFF"/>
          </w:tcPr>
          <w:p w14:paraId="37FDC009" w14:textId="00F59B40" w:rsidR="00D913FB" w:rsidRPr="001045B7" w:rsidRDefault="00D913FB" w:rsidP="00D913FB">
            <w:pPr>
              <w:jc w:val="right"/>
              <w:rPr>
                <w:rFonts w:asciiTheme="minorHAnsi" w:hAnsiTheme="minorHAnsi" w:cstheme="minorHAnsi"/>
                <w:sz w:val="17"/>
                <w:szCs w:val="17"/>
              </w:rPr>
            </w:pPr>
            <w:r w:rsidRPr="001045B7">
              <w:rPr>
                <w:rFonts w:asciiTheme="minorHAnsi" w:hAnsiTheme="minorHAnsi" w:cstheme="minorHAnsi"/>
                <w:sz w:val="17"/>
                <w:szCs w:val="17"/>
              </w:rPr>
              <w:t xml:space="preserve"> 3,939,179 </w:t>
            </w:r>
          </w:p>
        </w:tc>
        <w:tc>
          <w:tcPr>
            <w:tcW w:w="1923" w:type="dxa"/>
            <w:tcBorders>
              <w:top w:val="nil"/>
              <w:left w:val="nil"/>
              <w:bottom w:val="single" w:sz="4" w:space="0" w:color="auto"/>
              <w:right w:val="single" w:sz="4" w:space="0" w:color="auto"/>
            </w:tcBorders>
            <w:shd w:val="clear" w:color="000000" w:fill="FFFFFF"/>
          </w:tcPr>
          <w:p w14:paraId="1CBCF9B4" w14:textId="77777777" w:rsidR="00D913FB" w:rsidRPr="001045B7" w:rsidRDefault="00D913FB" w:rsidP="00D913FB">
            <w:pPr>
              <w:jc w:val="right"/>
              <w:rPr>
                <w:rFonts w:asciiTheme="minorHAnsi" w:hAnsiTheme="minorHAnsi" w:cstheme="minorHAnsi"/>
                <w:sz w:val="17"/>
                <w:szCs w:val="17"/>
              </w:rPr>
            </w:pPr>
          </w:p>
        </w:tc>
      </w:tr>
      <w:tr w:rsidR="00D913FB" w:rsidRPr="001045B7" w14:paraId="770095B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BC3803D" w14:textId="77777777" w:rsidR="00D913FB" w:rsidRPr="001045B7" w:rsidRDefault="00D913FB" w:rsidP="00D913FB">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2.11 Activos Intangibles</w:t>
            </w:r>
          </w:p>
        </w:tc>
        <w:tc>
          <w:tcPr>
            <w:tcW w:w="2126" w:type="dxa"/>
            <w:tcBorders>
              <w:top w:val="nil"/>
              <w:left w:val="nil"/>
              <w:bottom w:val="single" w:sz="4" w:space="0" w:color="auto"/>
              <w:right w:val="single" w:sz="4" w:space="0" w:color="auto"/>
            </w:tcBorders>
            <w:shd w:val="clear" w:color="000000" w:fill="FFFFFF"/>
          </w:tcPr>
          <w:p w14:paraId="561B6CFD" w14:textId="79021792" w:rsidR="00D913FB" w:rsidRPr="001045B7" w:rsidRDefault="00D913FB" w:rsidP="00D913FB">
            <w:pPr>
              <w:jc w:val="right"/>
              <w:rPr>
                <w:rFonts w:asciiTheme="minorHAnsi" w:hAnsiTheme="minorHAnsi" w:cstheme="minorHAnsi"/>
                <w:sz w:val="17"/>
                <w:szCs w:val="17"/>
              </w:rPr>
            </w:pPr>
            <w:r w:rsidRPr="001045B7">
              <w:rPr>
                <w:rFonts w:asciiTheme="minorHAnsi" w:hAnsiTheme="minorHAnsi" w:cstheme="minorHAnsi"/>
                <w:sz w:val="17"/>
                <w:szCs w:val="17"/>
              </w:rPr>
              <w:t xml:space="preserve"> 3,469,476 </w:t>
            </w:r>
          </w:p>
        </w:tc>
        <w:tc>
          <w:tcPr>
            <w:tcW w:w="1923" w:type="dxa"/>
            <w:tcBorders>
              <w:top w:val="nil"/>
              <w:left w:val="nil"/>
              <w:bottom w:val="single" w:sz="4" w:space="0" w:color="auto"/>
              <w:right w:val="single" w:sz="4" w:space="0" w:color="auto"/>
            </w:tcBorders>
            <w:shd w:val="clear" w:color="000000" w:fill="FFFFFF"/>
          </w:tcPr>
          <w:p w14:paraId="75311507" w14:textId="77777777" w:rsidR="00D913FB" w:rsidRPr="001045B7" w:rsidRDefault="00D913FB" w:rsidP="00D913FB">
            <w:pPr>
              <w:jc w:val="right"/>
              <w:rPr>
                <w:rFonts w:asciiTheme="minorHAnsi" w:hAnsiTheme="minorHAnsi" w:cstheme="minorHAnsi"/>
                <w:sz w:val="17"/>
                <w:szCs w:val="17"/>
              </w:rPr>
            </w:pPr>
          </w:p>
        </w:tc>
      </w:tr>
      <w:tr w:rsidR="00D913FB" w:rsidRPr="001045B7" w14:paraId="325DDD5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C7B93B8" w14:textId="77777777" w:rsidR="00D913FB" w:rsidRPr="001045B7" w:rsidRDefault="00D913FB" w:rsidP="00D913FB">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2.12 Obra Pública en Bienes de Dominio Público</w:t>
            </w:r>
          </w:p>
        </w:tc>
        <w:tc>
          <w:tcPr>
            <w:tcW w:w="2126" w:type="dxa"/>
            <w:tcBorders>
              <w:top w:val="nil"/>
              <w:left w:val="nil"/>
              <w:bottom w:val="single" w:sz="4" w:space="0" w:color="auto"/>
              <w:right w:val="single" w:sz="4" w:space="0" w:color="auto"/>
            </w:tcBorders>
            <w:shd w:val="clear" w:color="000000" w:fill="FFFFFF"/>
          </w:tcPr>
          <w:p w14:paraId="5BDEF3C0" w14:textId="58F25D46" w:rsidR="00D913FB" w:rsidRPr="001045B7" w:rsidRDefault="00D913FB" w:rsidP="00D913FB">
            <w:pPr>
              <w:jc w:val="right"/>
              <w:rPr>
                <w:rFonts w:asciiTheme="minorHAnsi" w:hAnsiTheme="minorHAnsi" w:cstheme="minorHAnsi"/>
                <w:sz w:val="17"/>
                <w:szCs w:val="17"/>
              </w:rPr>
            </w:pPr>
            <w:r w:rsidRPr="001045B7">
              <w:rPr>
                <w:rFonts w:asciiTheme="minorHAnsi" w:hAnsiTheme="minorHAnsi" w:cstheme="minorHAnsi"/>
                <w:sz w:val="17"/>
                <w:szCs w:val="17"/>
              </w:rPr>
              <w:t xml:space="preserve"> 3,519,418,788 </w:t>
            </w:r>
          </w:p>
        </w:tc>
        <w:tc>
          <w:tcPr>
            <w:tcW w:w="1923" w:type="dxa"/>
            <w:tcBorders>
              <w:top w:val="nil"/>
              <w:left w:val="nil"/>
              <w:bottom w:val="single" w:sz="4" w:space="0" w:color="auto"/>
              <w:right w:val="single" w:sz="4" w:space="0" w:color="auto"/>
            </w:tcBorders>
            <w:shd w:val="clear" w:color="000000" w:fill="FFFFFF"/>
          </w:tcPr>
          <w:p w14:paraId="1339FAF9" w14:textId="77777777" w:rsidR="00D913FB" w:rsidRPr="001045B7" w:rsidRDefault="00D913FB" w:rsidP="00D913FB">
            <w:pPr>
              <w:jc w:val="right"/>
              <w:rPr>
                <w:rFonts w:asciiTheme="minorHAnsi" w:hAnsiTheme="minorHAnsi" w:cstheme="minorHAnsi"/>
                <w:sz w:val="17"/>
                <w:szCs w:val="17"/>
              </w:rPr>
            </w:pPr>
          </w:p>
        </w:tc>
      </w:tr>
      <w:tr w:rsidR="00BB4EE4" w:rsidRPr="001045B7" w14:paraId="2D96695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60196B1"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2.13 Obra Pública en Bienes Propios</w:t>
            </w:r>
          </w:p>
        </w:tc>
        <w:tc>
          <w:tcPr>
            <w:tcW w:w="2126" w:type="dxa"/>
            <w:tcBorders>
              <w:top w:val="nil"/>
              <w:left w:val="nil"/>
              <w:bottom w:val="single" w:sz="4" w:space="0" w:color="auto"/>
              <w:right w:val="single" w:sz="4" w:space="0" w:color="auto"/>
            </w:tcBorders>
            <w:shd w:val="clear" w:color="000000" w:fill="FFFFFF"/>
          </w:tcPr>
          <w:p w14:paraId="15FEEBB4"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6FA52557" w14:textId="77777777" w:rsidR="00BB4EE4" w:rsidRPr="001045B7" w:rsidRDefault="00BB4EE4" w:rsidP="00AF6204">
            <w:pPr>
              <w:jc w:val="right"/>
              <w:rPr>
                <w:rFonts w:asciiTheme="minorHAnsi" w:hAnsiTheme="minorHAnsi" w:cstheme="minorHAnsi"/>
                <w:sz w:val="17"/>
                <w:szCs w:val="17"/>
              </w:rPr>
            </w:pPr>
          </w:p>
        </w:tc>
      </w:tr>
      <w:tr w:rsidR="00BB4EE4" w:rsidRPr="001045B7" w14:paraId="0B3235DE"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E546726"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2.14 Acciones y Participaciones de Capital</w:t>
            </w:r>
          </w:p>
        </w:tc>
        <w:tc>
          <w:tcPr>
            <w:tcW w:w="2126" w:type="dxa"/>
            <w:tcBorders>
              <w:top w:val="nil"/>
              <w:left w:val="nil"/>
              <w:bottom w:val="single" w:sz="4" w:space="0" w:color="auto"/>
              <w:right w:val="single" w:sz="4" w:space="0" w:color="auto"/>
            </w:tcBorders>
            <w:shd w:val="clear" w:color="000000" w:fill="FFFFFF"/>
          </w:tcPr>
          <w:p w14:paraId="07062B9F"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12C42E55" w14:textId="77777777" w:rsidR="00BB4EE4" w:rsidRPr="001045B7" w:rsidRDefault="00BB4EE4" w:rsidP="00AF6204">
            <w:pPr>
              <w:jc w:val="right"/>
              <w:rPr>
                <w:rFonts w:asciiTheme="minorHAnsi" w:hAnsiTheme="minorHAnsi" w:cstheme="minorHAnsi"/>
                <w:sz w:val="17"/>
                <w:szCs w:val="17"/>
              </w:rPr>
            </w:pPr>
          </w:p>
        </w:tc>
      </w:tr>
      <w:tr w:rsidR="00BB4EE4" w:rsidRPr="001045B7" w14:paraId="4EA2615F"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04947F6"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2.15 Compra de Títulos y Valores</w:t>
            </w:r>
          </w:p>
        </w:tc>
        <w:tc>
          <w:tcPr>
            <w:tcW w:w="2126" w:type="dxa"/>
            <w:tcBorders>
              <w:top w:val="nil"/>
              <w:left w:val="nil"/>
              <w:bottom w:val="single" w:sz="4" w:space="0" w:color="auto"/>
              <w:right w:val="single" w:sz="4" w:space="0" w:color="auto"/>
            </w:tcBorders>
            <w:shd w:val="clear" w:color="000000" w:fill="FFFFFF"/>
          </w:tcPr>
          <w:p w14:paraId="365A78B1"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47D4ED5A" w14:textId="77777777" w:rsidR="00BB4EE4" w:rsidRPr="001045B7" w:rsidRDefault="00BB4EE4" w:rsidP="00AF6204">
            <w:pPr>
              <w:jc w:val="right"/>
              <w:rPr>
                <w:rFonts w:asciiTheme="minorHAnsi" w:hAnsiTheme="minorHAnsi" w:cstheme="minorHAnsi"/>
                <w:sz w:val="17"/>
                <w:szCs w:val="17"/>
              </w:rPr>
            </w:pPr>
          </w:p>
        </w:tc>
      </w:tr>
      <w:tr w:rsidR="00BB4EE4" w:rsidRPr="001045B7" w14:paraId="56B27BE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7E64E2"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2.16 Concesión de Préstamos</w:t>
            </w:r>
          </w:p>
        </w:tc>
        <w:tc>
          <w:tcPr>
            <w:tcW w:w="2126" w:type="dxa"/>
            <w:tcBorders>
              <w:top w:val="nil"/>
              <w:left w:val="nil"/>
              <w:bottom w:val="single" w:sz="4" w:space="0" w:color="auto"/>
              <w:right w:val="single" w:sz="4" w:space="0" w:color="auto"/>
            </w:tcBorders>
            <w:shd w:val="clear" w:color="000000" w:fill="FFFFFF"/>
          </w:tcPr>
          <w:p w14:paraId="79F1171A"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31103AF4" w14:textId="77777777" w:rsidR="00BB4EE4" w:rsidRPr="001045B7" w:rsidRDefault="00BB4EE4" w:rsidP="00AF6204">
            <w:pPr>
              <w:jc w:val="right"/>
              <w:rPr>
                <w:rFonts w:asciiTheme="minorHAnsi" w:hAnsiTheme="minorHAnsi" w:cstheme="minorHAnsi"/>
                <w:sz w:val="17"/>
                <w:szCs w:val="17"/>
              </w:rPr>
            </w:pPr>
          </w:p>
        </w:tc>
      </w:tr>
      <w:tr w:rsidR="00BB4EE4" w:rsidRPr="001045B7" w14:paraId="57FAB12A" w14:textId="77777777" w:rsidTr="00AF6204">
        <w:trPr>
          <w:trHeight w:val="28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8474D65"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2.17 Inversiones en Fideicomisos, Mandatos y Otros Análogos</w:t>
            </w:r>
          </w:p>
        </w:tc>
        <w:tc>
          <w:tcPr>
            <w:tcW w:w="2126" w:type="dxa"/>
            <w:tcBorders>
              <w:top w:val="nil"/>
              <w:left w:val="nil"/>
              <w:bottom w:val="single" w:sz="4" w:space="0" w:color="auto"/>
              <w:right w:val="single" w:sz="4" w:space="0" w:color="auto"/>
            </w:tcBorders>
            <w:shd w:val="clear" w:color="000000" w:fill="FFFFFF"/>
          </w:tcPr>
          <w:p w14:paraId="0270C954" w14:textId="4EABBBBF" w:rsidR="00BB4EE4" w:rsidRPr="001045B7" w:rsidRDefault="00D913FB" w:rsidP="00AF6204">
            <w:pPr>
              <w:jc w:val="right"/>
              <w:rPr>
                <w:rFonts w:asciiTheme="minorHAnsi" w:hAnsiTheme="minorHAnsi" w:cstheme="minorHAnsi"/>
                <w:sz w:val="17"/>
                <w:szCs w:val="17"/>
              </w:rPr>
            </w:pPr>
            <w:r w:rsidRPr="001045B7">
              <w:rPr>
                <w:rFonts w:asciiTheme="minorHAnsi" w:hAnsiTheme="minorHAnsi" w:cstheme="minorHAnsi"/>
                <w:sz w:val="17"/>
                <w:szCs w:val="17"/>
              </w:rPr>
              <w:t>154,764,672</w:t>
            </w:r>
          </w:p>
        </w:tc>
        <w:tc>
          <w:tcPr>
            <w:tcW w:w="1923" w:type="dxa"/>
            <w:tcBorders>
              <w:top w:val="nil"/>
              <w:left w:val="nil"/>
              <w:bottom w:val="single" w:sz="4" w:space="0" w:color="auto"/>
              <w:right w:val="single" w:sz="4" w:space="0" w:color="auto"/>
            </w:tcBorders>
            <w:shd w:val="clear" w:color="000000" w:fill="FFFFFF"/>
          </w:tcPr>
          <w:p w14:paraId="3BE84062" w14:textId="77777777" w:rsidR="00BB4EE4" w:rsidRPr="001045B7" w:rsidRDefault="00BB4EE4" w:rsidP="00AF6204">
            <w:pPr>
              <w:jc w:val="right"/>
              <w:rPr>
                <w:rFonts w:asciiTheme="minorHAnsi" w:hAnsiTheme="minorHAnsi" w:cstheme="minorHAnsi"/>
                <w:sz w:val="17"/>
                <w:szCs w:val="17"/>
              </w:rPr>
            </w:pPr>
          </w:p>
        </w:tc>
      </w:tr>
      <w:tr w:rsidR="00BB4EE4" w:rsidRPr="001045B7" w14:paraId="6AB2D5A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76B86A1"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2.18 Provisiones para Contingencias y Otras Erogaciones Especiales</w:t>
            </w:r>
          </w:p>
        </w:tc>
        <w:tc>
          <w:tcPr>
            <w:tcW w:w="2126" w:type="dxa"/>
            <w:tcBorders>
              <w:top w:val="nil"/>
              <w:left w:val="nil"/>
              <w:bottom w:val="single" w:sz="4" w:space="0" w:color="auto"/>
              <w:right w:val="single" w:sz="4" w:space="0" w:color="auto"/>
            </w:tcBorders>
            <w:shd w:val="clear" w:color="000000" w:fill="FFFFFF"/>
          </w:tcPr>
          <w:p w14:paraId="03189753"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6171ED8B" w14:textId="77777777" w:rsidR="00BB4EE4" w:rsidRPr="001045B7" w:rsidRDefault="00BB4EE4" w:rsidP="00AF6204">
            <w:pPr>
              <w:jc w:val="right"/>
              <w:rPr>
                <w:rFonts w:asciiTheme="minorHAnsi" w:hAnsiTheme="minorHAnsi" w:cstheme="minorHAnsi"/>
                <w:sz w:val="17"/>
                <w:szCs w:val="17"/>
              </w:rPr>
            </w:pPr>
          </w:p>
        </w:tc>
      </w:tr>
      <w:tr w:rsidR="00BB4EE4" w:rsidRPr="001045B7" w14:paraId="36C183A3"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9BB1E37"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2.19 Amortización de la Deuda Pública</w:t>
            </w:r>
          </w:p>
        </w:tc>
        <w:tc>
          <w:tcPr>
            <w:tcW w:w="2126" w:type="dxa"/>
            <w:tcBorders>
              <w:top w:val="nil"/>
              <w:left w:val="nil"/>
              <w:bottom w:val="single" w:sz="4" w:space="0" w:color="auto"/>
              <w:right w:val="single" w:sz="4" w:space="0" w:color="auto"/>
            </w:tcBorders>
            <w:shd w:val="clear" w:color="auto" w:fill="auto"/>
          </w:tcPr>
          <w:p w14:paraId="4A8306D0" w14:textId="4237ACC0" w:rsidR="00BB4EE4" w:rsidRPr="001045B7" w:rsidRDefault="00D913FB" w:rsidP="00AF6204">
            <w:pPr>
              <w:jc w:val="right"/>
              <w:rPr>
                <w:rFonts w:asciiTheme="minorHAnsi" w:hAnsiTheme="minorHAnsi" w:cstheme="minorHAnsi"/>
                <w:sz w:val="17"/>
                <w:szCs w:val="17"/>
              </w:rPr>
            </w:pPr>
            <w:r w:rsidRPr="001045B7">
              <w:rPr>
                <w:rFonts w:asciiTheme="minorHAnsi" w:hAnsiTheme="minorHAnsi" w:cstheme="minorHAnsi"/>
                <w:sz w:val="17"/>
                <w:szCs w:val="17"/>
              </w:rPr>
              <w:t>787,631,147</w:t>
            </w:r>
          </w:p>
        </w:tc>
        <w:tc>
          <w:tcPr>
            <w:tcW w:w="1923" w:type="dxa"/>
            <w:tcBorders>
              <w:top w:val="nil"/>
              <w:left w:val="nil"/>
              <w:bottom w:val="single" w:sz="4" w:space="0" w:color="auto"/>
              <w:right w:val="single" w:sz="4" w:space="0" w:color="auto"/>
            </w:tcBorders>
            <w:shd w:val="clear" w:color="000000" w:fill="FFFFFF"/>
          </w:tcPr>
          <w:p w14:paraId="1FA92372" w14:textId="77777777" w:rsidR="00BB4EE4" w:rsidRPr="001045B7" w:rsidRDefault="00BB4EE4" w:rsidP="00AF6204">
            <w:pPr>
              <w:jc w:val="right"/>
              <w:rPr>
                <w:rFonts w:asciiTheme="minorHAnsi" w:hAnsiTheme="minorHAnsi" w:cstheme="minorHAnsi"/>
                <w:sz w:val="17"/>
                <w:szCs w:val="17"/>
              </w:rPr>
            </w:pPr>
          </w:p>
        </w:tc>
      </w:tr>
      <w:tr w:rsidR="00BB4EE4" w:rsidRPr="001045B7" w14:paraId="48AC844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8E3D909"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2.20 Adeudos de Ejercicios Fiscales Anteriores (</w:t>
            </w:r>
            <w:proofErr w:type="spellStart"/>
            <w:r w:rsidRPr="001045B7">
              <w:rPr>
                <w:rFonts w:asciiTheme="minorHAnsi" w:hAnsiTheme="minorHAnsi" w:cstheme="minorHAnsi"/>
                <w:color w:val="000000"/>
                <w:sz w:val="17"/>
                <w:szCs w:val="17"/>
              </w:rPr>
              <w:t>ADEFAS</w:t>
            </w:r>
            <w:proofErr w:type="spellEnd"/>
            <w:r w:rsidRPr="001045B7">
              <w:rPr>
                <w:rFonts w:asciiTheme="minorHAnsi" w:hAnsiTheme="minorHAnsi" w:cstheme="minorHAnsi"/>
                <w:color w:val="000000"/>
                <w:sz w:val="17"/>
                <w:szCs w:val="17"/>
              </w:rPr>
              <w:t>)</w:t>
            </w:r>
          </w:p>
        </w:tc>
        <w:tc>
          <w:tcPr>
            <w:tcW w:w="2126" w:type="dxa"/>
            <w:tcBorders>
              <w:top w:val="nil"/>
              <w:left w:val="nil"/>
              <w:bottom w:val="single" w:sz="4" w:space="0" w:color="auto"/>
              <w:right w:val="single" w:sz="4" w:space="0" w:color="auto"/>
            </w:tcBorders>
            <w:shd w:val="clear" w:color="000000" w:fill="FFFFFF"/>
          </w:tcPr>
          <w:p w14:paraId="1809F96D"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51B28531" w14:textId="77777777" w:rsidR="00BB4EE4" w:rsidRPr="001045B7" w:rsidRDefault="00BB4EE4" w:rsidP="00AF6204">
            <w:pPr>
              <w:jc w:val="right"/>
              <w:rPr>
                <w:rFonts w:asciiTheme="minorHAnsi" w:hAnsiTheme="minorHAnsi" w:cstheme="minorHAnsi"/>
                <w:sz w:val="17"/>
                <w:szCs w:val="17"/>
              </w:rPr>
            </w:pPr>
          </w:p>
        </w:tc>
      </w:tr>
      <w:tr w:rsidR="00BB4EE4" w:rsidRPr="001045B7" w14:paraId="760D74B4"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5BDC68"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2.21 Otros Egresos Presupuestarios No Contables</w:t>
            </w:r>
          </w:p>
        </w:tc>
        <w:tc>
          <w:tcPr>
            <w:tcW w:w="2126" w:type="dxa"/>
            <w:tcBorders>
              <w:top w:val="nil"/>
              <w:left w:val="nil"/>
              <w:bottom w:val="single" w:sz="4" w:space="0" w:color="auto"/>
              <w:right w:val="single" w:sz="4" w:space="0" w:color="auto"/>
            </w:tcBorders>
            <w:shd w:val="clear" w:color="000000" w:fill="FFFFFF"/>
          </w:tcPr>
          <w:p w14:paraId="68234D3B"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000000" w:fill="FFFFFF"/>
          </w:tcPr>
          <w:p w14:paraId="2D56CD44" w14:textId="77777777" w:rsidR="00BB4EE4" w:rsidRPr="001045B7" w:rsidRDefault="00BB4EE4" w:rsidP="00AF6204">
            <w:pPr>
              <w:jc w:val="right"/>
              <w:rPr>
                <w:rFonts w:asciiTheme="minorHAnsi" w:hAnsiTheme="minorHAnsi" w:cstheme="minorHAnsi"/>
                <w:sz w:val="17"/>
                <w:szCs w:val="17"/>
              </w:rPr>
            </w:pPr>
          </w:p>
        </w:tc>
      </w:tr>
      <w:tr w:rsidR="00BB4EE4" w:rsidRPr="001045B7" w14:paraId="0FC5ECFE" w14:textId="77777777" w:rsidTr="00AF6204">
        <w:trPr>
          <w:trHeight w:val="240"/>
          <w:jc w:val="center"/>
        </w:trPr>
        <w:tc>
          <w:tcPr>
            <w:tcW w:w="5665" w:type="dxa"/>
            <w:tcBorders>
              <w:top w:val="nil"/>
              <w:left w:val="nil"/>
              <w:bottom w:val="nil"/>
              <w:right w:val="nil"/>
            </w:tcBorders>
            <w:shd w:val="clear" w:color="000000" w:fill="FFFFFF"/>
            <w:vAlign w:val="center"/>
            <w:hideMark/>
          </w:tcPr>
          <w:p w14:paraId="7D4316C5"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26" w:type="dxa"/>
            <w:tcBorders>
              <w:top w:val="nil"/>
              <w:left w:val="nil"/>
              <w:bottom w:val="nil"/>
              <w:right w:val="nil"/>
            </w:tcBorders>
            <w:shd w:val="clear" w:color="000000" w:fill="FFFFFF"/>
            <w:vAlign w:val="center"/>
            <w:hideMark/>
          </w:tcPr>
          <w:p w14:paraId="11CD8DAA"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 </w:t>
            </w:r>
          </w:p>
        </w:tc>
        <w:tc>
          <w:tcPr>
            <w:tcW w:w="1923" w:type="dxa"/>
            <w:tcBorders>
              <w:top w:val="nil"/>
              <w:left w:val="nil"/>
              <w:bottom w:val="nil"/>
              <w:right w:val="nil"/>
            </w:tcBorders>
            <w:shd w:val="clear" w:color="000000" w:fill="FFFFFF"/>
            <w:vAlign w:val="center"/>
            <w:hideMark/>
          </w:tcPr>
          <w:p w14:paraId="15C05D3F" w14:textId="77777777" w:rsidR="00BB4EE4" w:rsidRPr="001045B7" w:rsidRDefault="00BB4EE4" w:rsidP="00AF6204">
            <w:pPr>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r>
      <w:tr w:rsidR="00565E80" w:rsidRPr="001045B7" w14:paraId="26C55FB9" w14:textId="77777777" w:rsidTr="00AF6204">
        <w:trPr>
          <w:trHeight w:val="240"/>
          <w:jc w:val="center"/>
        </w:trPr>
        <w:tc>
          <w:tcPr>
            <w:tcW w:w="5665" w:type="dxa"/>
            <w:tcBorders>
              <w:top w:val="nil"/>
              <w:left w:val="nil"/>
              <w:bottom w:val="nil"/>
              <w:right w:val="nil"/>
            </w:tcBorders>
            <w:shd w:val="clear" w:color="000000" w:fill="FFFFFF"/>
            <w:vAlign w:val="center"/>
          </w:tcPr>
          <w:p w14:paraId="4A949BF9" w14:textId="6F8633ED" w:rsidR="00565E80" w:rsidRPr="001045B7" w:rsidRDefault="00565E80" w:rsidP="001174F8">
            <w:pPr>
              <w:rPr>
                <w:rFonts w:asciiTheme="minorHAnsi" w:hAnsiTheme="minorHAnsi" w:cstheme="minorHAnsi"/>
                <w:color w:val="000000"/>
                <w:sz w:val="17"/>
                <w:szCs w:val="17"/>
              </w:rPr>
            </w:pPr>
          </w:p>
        </w:tc>
        <w:tc>
          <w:tcPr>
            <w:tcW w:w="2126" w:type="dxa"/>
            <w:tcBorders>
              <w:top w:val="nil"/>
              <w:left w:val="nil"/>
              <w:bottom w:val="nil"/>
              <w:right w:val="nil"/>
            </w:tcBorders>
            <w:shd w:val="clear" w:color="000000" w:fill="FFFFFF"/>
            <w:vAlign w:val="center"/>
          </w:tcPr>
          <w:p w14:paraId="42307BEB" w14:textId="77777777" w:rsidR="00565E80" w:rsidRPr="001045B7" w:rsidRDefault="00565E80" w:rsidP="00AF6204">
            <w:pPr>
              <w:jc w:val="right"/>
              <w:rPr>
                <w:rFonts w:asciiTheme="minorHAnsi" w:hAnsiTheme="minorHAnsi" w:cstheme="minorHAnsi"/>
                <w:sz w:val="17"/>
                <w:szCs w:val="17"/>
              </w:rPr>
            </w:pPr>
          </w:p>
        </w:tc>
        <w:tc>
          <w:tcPr>
            <w:tcW w:w="1923" w:type="dxa"/>
            <w:tcBorders>
              <w:top w:val="nil"/>
              <w:left w:val="nil"/>
              <w:bottom w:val="nil"/>
              <w:right w:val="nil"/>
            </w:tcBorders>
            <w:shd w:val="clear" w:color="000000" w:fill="FFFFFF"/>
            <w:vAlign w:val="center"/>
          </w:tcPr>
          <w:p w14:paraId="590EC5C1" w14:textId="77777777" w:rsidR="00565E80" w:rsidRPr="001045B7" w:rsidRDefault="00565E80" w:rsidP="00AF6204">
            <w:pPr>
              <w:jc w:val="right"/>
              <w:rPr>
                <w:rFonts w:asciiTheme="minorHAnsi" w:hAnsiTheme="minorHAnsi" w:cstheme="minorHAnsi"/>
                <w:color w:val="000000"/>
                <w:sz w:val="17"/>
                <w:szCs w:val="17"/>
              </w:rPr>
            </w:pPr>
          </w:p>
        </w:tc>
      </w:tr>
      <w:tr w:rsidR="00BB4EE4" w:rsidRPr="001045B7" w14:paraId="14674DC8"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217B1B"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3. Más Gasto Contables No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hideMark/>
          </w:tcPr>
          <w:p w14:paraId="1A7C8271" w14:textId="77777777" w:rsidR="00BB4EE4" w:rsidRPr="001045B7" w:rsidRDefault="00BB4EE4" w:rsidP="00AF6204">
            <w:pPr>
              <w:jc w:val="right"/>
              <w:rPr>
                <w:rFonts w:asciiTheme="minorHAnsi" w:hAnsiTheme="minorHAnsi" w:cstheme="minorHAnsi"/>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4F567" w14:textId="69DA8264" w:rsidR="00BB4EE4" w:rsidRPr="001045B7" w:rsidRDefault="008E1D5B" w:rsidP="00AF6204">
            <w:pPr>
              <w:jc w:val="right"/>
              <w:rPr>
                <w:rFonts w:asciiTheme="minorHAnsi" w:hAnsiTheme="minorHAnsi" w:cstheme="minorHAnsi"/>
                <w:b/>
                <w:sz w:val="17"/>
                <w:szCs w:val="17"/>
              </w:rPr>
            </w:pPr>
            <w:r w:rsidRPr="001045B7">
              <w:rPr>
                <w:rFonts w:asciiTheme="minorHAnsi" w:hAnsiTheme="minorHAnsi" w:cstheme="minorHAnsi"/>
                <w:b/>
                <w:sz w:val="17"/>
                <w:szCs w:val="17"/>
              </w:rPr>
              <w:t>1,846,116,115</w:t>
            </w:r>
          </w:p>
        </w:tc>
      </w:tr>
      <w:tr w:rsidR="00BB4EE4" w:rsidRPr="001045B7" w14:paraId="285006ED" w14:textId="77777777" w:rsidTr="00AF6204">
        <w:trPr>
          <w:trHeight w:val="217"/>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A1FB192"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3.1 Estimaciones, Depreciaciones, Deterioros, Obsolescencia y Amortizaciones</w:t>
            </w:r>
          </w:p>
        </w:tc>
        <w:tc>
          <w:tcPr>
            <w:tcW w:w="2126" w:type="dxa"/>
            <w:tcBorders>
              <w:top w:val="nil"/>
              <w:left w:val="nil"/>
              <w:bottom w:val="single" w:sz="4" w:space="0" w:color="auto"/>
              <w:right w:val="single" w:sz="4" w:space="0" w:color="auto"/>
            </w:tcBorders>
            <w:shd w:val="clear" w:color="000000" w:fill="FFFFFF"/>
          </w:tcPr>
          <w:p w14:paraId="0CEC058F" w14:textId="29C22B59" w:rsidR="00BB4EE4" w:rsidRPr="001045B7" w:rsidRDefault="00D913FB" w:rsidP="00AF6204">
            <w:pPr>
              <w:jc w:val="right"/>
              <w:rPr>
                <w:rFonts w:asciiTheme="minorHAnsi" w:hAnsiTheme="minorHAnsi" w:cstheme="minorHAnsi"/>
                <w:sz w:val="17"/>
                <w:szCs w:val="17"/>
              </w:rPr>
            </w:pPr>
            <w:r w:rsidRPr="001045B7">
              <w:rPr>
                <w:rFonts w:asciiTheme="minorHAnsi" w:hAnsiTheme="minorHAnsi" w:cstheme="minorHAnsi"/>
                <w:sz w:val="17"/>
                <w:szCs w:val="17"/>
              </w:rPr>
              <w:t>413,301,858</w:t>
            </w:r>
          </w:p>
        </w:tc>
        <w:tc>
          <w:tcPr>
            <w:tcW w:w="1923" w:type="dxa"/>
            <w:tcBorders>
              <w:top w:val="nil"/>
              <w:left w:val="nil"/>
              <w:bottom w:val="single" w:sz="4" w:space="0" w:color="auto"/>
              <w:right w:val="single" w:sz="4" w:space="0" w:color="auto"/>
            </w:tcBorders>
            <w:shd w:val="clear" w:color="auto" w:fill="auto"/>
            <w:hideMark/>
          </w:tcPr>
          <w:p w14:paraId="559DF86B"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 xml:space="preserve"> </w:t>
            </w:r>
          </w:p>
        </w:tc>
      </w:tr>
      <w:tr w:rsidR="00BB4EE4" w:rsidRPr="001045B7" w14:paraId="31A8586E" w14:textId="77777777" w:rsidTr="00AF6204">
        <w:trPr>
          <w:trHeight w:val="9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12674B6"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3.2 Provisiones</w:t>
            </w:r>
          </w:p>
        </w:tc>
        <w:tc>
          <w:tcPr>
            <w:tcW w:w="2126" w:type="dxa"/>
            <w:tcBorders>
              <w:top w:val="nil"/>
              <w:left w:val="nil"/>
              <w:bottom w:val="single" w:sz="4" w:space="0" w:color="auto"/>
              <w:right w:val="single" w:sz="4" w:space="0" w:color="auto"/>
            </w:tcBorders>
            <w:shd w:val="clear" w:color="000000" w:fill="FFFFFF"/>
          </w:tcPr>
          <w:p w14:paraId="5B582FF3"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61346234" w14:textId="77777777" w:rsidR="00BB4EE4" w:rsidRPr="001045B7" w:rsidRDefault="00BB4EE4" w:rsidP="00AF6204">
            <w:pPr>
              <w:jc w:val="right"/>
              <w:rPr>
                <w:rFonts w:asciiTheme="minorHAnsi" w:hAnsiTheme="minorHAnsi" w:cstheme="minorHAnsi"/>
                <w:sz w:val="17"/>
                <w:szCs w:val="17"/>
              </w:rPr>
            </w:pPr>
          </w:p>
        </w:tc>
      </w:tr>
      <w:tr w:rsidR="00BB4EE4" w:rsidRPr="001045B7" w14:paraId="7A4D51EE" w14:textId="77777777" w:rsidTr="00AF6204">
        <w:trPr>
          <w:trHeight w:val="53"/>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2555140" w14:textId="77777777"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3.3 Disminución de Inventarios</w:t>
            </w:r>
          </w:p>
        </w:tc>
        <w:tc>
          <w:tcPr>
            <w:tcW w:w="2126" w:type="dxa"/>
            <w:tcBorders>
              <w:top w:val="nil"/>
              <w:left w:val="nil"/>
              <w:bottom w:val="single" w:sz="4" w:space="0" w:color="auto"/>
              <w:right w:val="single" w:sz="4" w:space="0" w:color="auto"/>
            </w:tcBorders>
            <w:shd w:val="clear" w:color="000000" w:fill="FFFFFF"/>
          </w:tcPr>
          <w:p w14:paraId="3E1ABD32"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22D902CE" w14:textId="77777777" w:rsidR="00BB4EE4" w:rsidRPr="001045B7" w:rsidRDefault="00BB4EE4" w:rsidP="00AF6204">
            <w:pPr>
              <w:jc w:val="right"/>
              <w:rPr>
                <w:rFonts w:asciiTheme="minorHAnsi" w:hAnsiTheme="minorHAnsi" w:cstheme="minorHAnsi"/>
                <w:sz w:val="17"/>
                <w:szCs w:val="17"/>
              </w:rPr>
            </w:pPr>
          </w:p>
        </w:tc>
      </w:tr>
      <w:tr w:rsidR="00BB4EE4" w:rsidRPr="001045B7" w14:paraId="24896595" w14:textId="77777777" w:rsidTr="00AF6204">
        <w:trPr>
          <w:trHeight w:val="301"/>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34D010A" w14:textId="5C9C2792" w:rsidR="00BB4EE4" w:rsidRPr="001045B7" w:rsidRDefault="00BB4EE4" w:rsidP="00BB4EE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3.4 Otros Gastos</w:t>
            </w:r>
          </w:p>
        </w:tc>
        <w:tc>
          <w:tcPr>
            <w:tcW w:w="2126" w:type="dxa"/>
            <w:tcBorders>
              <w:top w:val="nil"/>
              <w:left w:val="nil"/>
              <w:bottom w:val="single" w:sz="4" w:space="0" w:color="auto"/>
              <w:right w:val="single" w:sz="4" w:space="0" w:color="auto"/>
            </w:tcBorders>
            <w:shd w:val="clear" w:color="000000" w:fill="FFFFFF"/>
          </w:tcPr>
          <w:p w14:paraId="3C2D8D90" w14:textId="13EB8A1F" w:rsidR="00BB4EE4" w:rsidRPr="001045B7" w:rsidRDefault="00450A68" w:rsidP="00AF6204">
            <w:pPr>
              <w:jc w:val="right"/>
              <w:rPr>
                <w:rFonts w:asciiTheme="minorHAnsi" w:hAnsiTheme="minorHAnsi" w:cstheme="minorHAnsi"/>
                <w:sz w:val="17"/>
                <w:szCs w:val="17"/>
              </w:rPr>
            </w:pPr>
            <w:r w:rsidRPr="001045B7">
              <w:rPr>
                <w:rFonts w:asciiTheme="minorHAnsi" w:hAnsiTheme="minorHAnsi" w:cstheme="minorHAnsi"/>
                <w:sz w:val="17"/>
                <w:szCs w:val="17"/>
              </w:rPr>
              <w:t>-</w:t>
            </w:r>
          </w:p>
        </w:tc>
        <w:tc>
          <w:tcPr>
            <w:tcW w:w="1923" w:type="dxa"/>
            <w:tcBorders>
              <w:top w:val="nil"/>
              <w:left w:val="nil"/>
              <w:bottom w:val="single" w:sz="4" w:space="0" w:color="auto"/>
              <w:right w:val="single" w:sz="4" w:space="0" w:color="auto"/>
            </w:tcBorders>
            <w:shd w:val="clear" w:color="auto" w:fill="auto"/>
            <w:hideMark/>
          </w:tcPr>
          <w:p w14:paraId="3A9C983E" w14:textId="77777777" w:rsidR="00BB4EE4" w:rsidRPr="001045B7" w:rsidRDefault="00BB4EE4" w:rsidP="00AF6204">
            <w:pPr>
              <w:jc w:val="right"/>
              <w:rPr>
                <w:rFonts w:asciiTheme="minorHAnsi" w:hAnsiTheme="minorHAnsi" w:cstheme="minorHAnsi"/>
                <w:sz w:val="17"/>
                <w:szCs w:val="17"/>
              </w:rPr>
            </w:pPr>
          </w:p>
        </w:tc>
      </w:tr>
      <w:tr w:rsidR="00BB4EE4" w:rsidRPr="001045B7" w14:paraId="5A099C02" w14:textId="77777777" w:rsidTr="00AF6204">
        <w:trPr>
          <w:trHeight w:val="13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0ABD8D" w14:textId="232231AA" w:rsidR="00BB4EE4" w:rsidRPr="001045B7" w:rsidRDefault="00BB4EE4" w:rsidP="00AF6204">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3.5 Inversión Pública no Capitalizable</w:t>
            </w:r>
          </w:p>
        </w:tc>
        <w:tc>
          <w:tcPr>
            <w:tcW w:w="2126" w:type="dxa"/>
            <w:tcBorders>
              <w:top w:val="nil"/>
              <w:left w:val="nil"/>
              <w:bottom w:val="single" w:sz="4" w:space="0" w:color="auto"/>
              <w:right w:val="single" w:sz="4" w:space="0" w:color="auto"/>
            </w:tcBorders>
            <w:shd w:val="clear" w:color="000000" w:fill="FFFFFF"/>
          </w:tcPr>
          <w:p w14:paraId="25169B72" w14:textId="77777777" w:rsidR="00BB4EE4" w:rsidRPr="001045B7" w:rsidRDefault="00BB4EE4" w:rsidP="00AF6204">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6F563A5B" w14:textId="77777777" w:rsidR="00BB4EE4" w:rsidRPr="001045B7" w:rsidRDefault="00BB4EE4" w:rsidP="00AF6204">
            <w:pPr>
              <w:jc w:val="right"/>
              <w:rPr>
                <w:rFonts w:asciiTheme="minorHAnsi" w:hAnsiTheme="minorHAnsi" w:cstheme="minorHAnsi"/>
                <w:sz w:val="17"/>
                <w:szCs w:val="17"/>
              </w:rPr>
            </w:pPr>
          </w:p>
        </w:tc>
      </w:tr>
      <w:tr w:rsidR="00D913FB" w:rsidRPr="001045B7" w14:paraId="68EC5C73"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DB2E8BF" w14:textId="79D95A84" w:rsidR="00D913FB" w:rsidRPr="001045B7" w:rsidRDefault="00D913FB" w:rsidP="00D913FB">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3.6 Materiales y Suministros (consumos)</w:t>
            </w:r>
          </w:p>
        </w:tc>
        <w:tc>
          <w:tcPr>
            <w:tcW w:w="2126" w:type="dxa"/>
            <w:tcBorders>
              <w:top w:val="nil"/>
              <w:left w:val="nil"/>
              <w:bottom w:val="single" w:sz="4" w:space="0" w:color="auto"/>
              <w:right w:val="single" w:sz="4" w:space="0" w:color="auto"/>
            </w:tcBorders>
            <w:shd w:val="clear" w:color="000000" w:fill="FFFFFF"/>
          </w:tcPr>
          <w:p w14:paraId="1397B012" w14:textId="3D9E83C8" w:rsidR="00D913FB" w:rsidRPr="001045B7" w:rsidRDefault="008E1D5B" w:rsidP="00D913FB">
            <w:pPr>
              <w:jc w:val="right"/>
              <w:rPr>
                <w:rFonts w:asciiTheme="minorHAnsi" w:hAnsiTheme="minorHAnsi" w:cstheme="minorHAnsi"/>
                <w:sz w:val="17"/>
                <w:szCs w:val="17"/>
              </w:rPr>
            </w:pPr>
            <w:r w:rsidRPr="001045B7">
              <w:rPr>
                <w:rFonts w:asciiTheme="minorHAnsi" w:hAnsiTheme="minorHAnsi" w:cstheme="minorHAnsi"/>
                <w:sz w:val="17"/>
                <w:szCs w:val="17"/>
              </w:rPr>
              <w:t>574,202,169</w:t>
            </w:r>
          </w:p>
        </w:tc>
        <w:tc>
          <w:tcPr>
            <w:tcW w:w="1923" w:type="dxa"/>
            <w:tcBorders>
              <w:top w:val="nil"/>
              <w:left w:val="nil"/>
              <w:bottom w:val="single" w:sz="4" w:space="0" w:color="auto"/>
              <w:right w:val="single" w:sz="4" w:space="0" w:color="auto"/>
            </w:tcBorders>
            <w:shd w:val="clear" w:color="auto" w:fill="auto"/>
            <w:hideMark/>
          </w:tcPr>
          <w:p w14:paraId="3D4A5D5C" w14:textId="77777777" w:rsidR="00D913FB" w:rsidRPr="001045B7" w:rsidRDefault="00D913FB" w:rsidP="00D913FB">
            <w:pPr>
              <w:jc w:val="right"/>
              <w:rPr>
                <w:rFonts w:asciiTheme="minorHAnsi" w:hAnsiTheme="minorHAnsi" w:cstheme="minorHAnsi"/>
                <w:sz w:val="17"/>
                <w:szCs w:val="17"/>
              </w:rPr>
            </w:pPr>
          </w:p>
        </w:tc>
      </w:tr>
      <w:tr w:rsidR="00D913FB" w:rsidRPr="001045B7" w14:paraId="6436239D" w14:textId="77777777" w:rsidTr="00AF6204">
        <w:trPr>
          <w:trHeight w:val="99"/>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EA3934D" w14:textId="7B01BCC5" w:rsidR="00D913FB" w:rsidRPr="001045B7" w:rsidRDefault="00D913FB" w:rsidP="00D913FB">
            <w:pPr>
              <w:ind w:firstLineChars="100" w:firstLine="170"/>
              <w:rPr>
                <w:rFonts w:asciiTheme="minorHAnsi" w:hAnsiTheme="minorHAnsi" w:cstheme="minorHAnsi"/>
                <w:color w:val="000000"/>
                <w:sz w:val="17"/>
                <w:szCs w:val="17"/>
              </w:rPr>
            </w:pPr>
            <w:r w:rsidRPr="001045B7">
              <w:rPr>
                <w:rFonts w:asciiTheme="minorHAnsi" w:hAnsiTheme="minorHAnsi" w:cstheme="minorHAnsi"/>
                <w:color w:val="000000"/>
                <w:sz w:val="17"/>
                <w:szCs w:val="17"/>
              </w:rPr>
              <w:t>3.7 Otros Gastos Contables No Presupuestarios</w:t>
            </w:r>
          </w:p>
        </w:tc>
        <w:tc>
          <w:tcPr>
            <w:tcW w:w="2126" w:type="dxa"/>
            <w:tcBorders>
              <w:top w:val="nil"/>
              <w:left w:val="nil"/>
              <w:bottom w:val="single" w:sz="4" w:space="0" w:color="auto"/>
              <w:right w:val="single" w:sz="4" w:space="0" w:color="auto"/>
            </w:tcBorders>
            <w:shd w:val="clear" w:color="auto" w:fill="auto"/>
          </w:tcPr>
          <w:p w14:paraId="7456BD8C" w14:textId="7BF7AB84" w:rsidR="00D913FB" w:rsidRPr="001045B7" w:rsidRDefault="00D913FB" w:rsidP="00D913FB">
            <w:pPr>
              <w:jc w:val="right"/>
              <w:rPr>
                <w:rFonts w:asciiTheme="minorHAnsi" w:hAnsiTheme="minorHAnsi" w:cstheme="minorHAnsi"/>
                <w:sz w:val="17"/>
                <w:szCs w:val="17"/>
              </w:rPr>
            </w:pPr>
            <w:r w:rsidRPr="001045B7">
              <w:rPr>
                <w:rFonts w:asciiTheme="minorHAnsi" w:hAnsiTheme="minorHAnsi" w:cstheme="minorHAnsi"/>
                <w:sz w:val="17"/>
                <w:szCs w:val="17"/>
              </w:rPr>
              <w:t xml:space="preserve"> 858,612,089 </w:t>
            </w:r>
          </w:p>
        </w:tc>
        <w:tc>
          <w:tcPr>
            <w:tcW w:w="1923" w:type="dxa"/>
            <w:tcBorders>
              <w:top w:val="nil"/>
              <w:left w:val="nil"/>
              <w:bottom w:val="single" w:sz="4" w:space="0" w:color="auto"/>
              <w:right w:val="single" w:sz="4" w:space="0" w:color="auto"/>
            </w:tcBorders>
            <w:shd w:val="clear" w:color="auto" w:fill="auto"/>
            <w:hideMark/>
          </w:tcPr>
          <w:p w14:paraId="3EB29620" w14:textId="77777777" w:rsidR="00D913FB" w:rsidRPr="001045B7" w:rsidRDefault="00D913FB" w:rsidP="00D913FB">
            <w:pPr>
              <w:jc w:val="right"/>
              <w:rPr>
                <w:rFonts w:asciiTheme="minorHAnsi" w:hAnsiTheme="minorHAnsi" w:cstheme="minorHAnsi"/>
                <w:sz w:val="17"/>
                <w:szCs w:val="17"/>
              </w:rPr>
            </w:pPr>
          </w:p>
        </w:tc>
      </w:tr>
      <w:tr w:rsidR="00BB4EE4" w:rsidRPr="001045B7" w14:paraId="186DD297" w14:textId="77777777" w:rsidTr="00AF6204">
        <w:trPr>
          <w:trHeight w:val="240"/>
          <w:jc w:val="center"/>
        </w:trPr>
        <w:tc>
          <w:tcPr>
            <w:tcW w:w="5665" w:type="dxa"/>
            <w:tcBorders>
              <w:top w:val="nil"/>
              <w:left w:val="nil"/>
              <w:bottom w:val="nil"/>
              <w:right w:val="nil"/>
            </w:tcBorders>
            <w:shd w:val="clear" w:color="000000" w:fill="FFFFFF"/>
            <w:vAlign w:val="center"/>
            <w:hideMark/>
          </w:tcPr>
          <w:p w14:paraId="0C011DA6" w14:textId="77777777" w:rsidR="00BB4EE4" w:rsidRPr="001045B7" w:rsidRDefault="00BB4EE4" w:rsidP="00AF6204">
            <w:pPr>
              <w:jc w:val="center"/>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2126" w:type="dxa"/>
            <w:tcBorders>
              <w:top w:val="nil"/>
              <w:left w:val="nil"/>
              <w:bottom w:val="nil"/>
              <w:right w:val="nil"/>
            </w:tcBorders>
            <w:shd w:val="clear" w:color="000000" w:fill="FFFFFF"/>
            <w:vAlign w:val="center"/>
            <w:hideMark/>
          </w:tcPr>
          <w:p w14:paraId="21DB1417" w14:textId="77777777" w:rsidR="00BB4EE4" w:rsidRPr="001045B7" w:rsidRDefault="00BB4EE4" w:rsidP="00AF6204">
            <w:pPr>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c>
          <w:tcPr>
            <w:tcW w:w="1923" w:type="dxa"/>
            <w:tcBorders>
              <w:top w:val="nil"/>
              <w:left w:val="nil"/>
              <w:bottom w:val="nil"/>
              <w:right w:val="nil"/>
            </w:tcBorders>
            <w:shd w:val="clear" w:color="000000" w:fill="FFFFFF"/>
            <w:vAlign w:val="center"/>
            <w:hideMark/>
          </w:tcPr>
          <w:p w14:paraId="6C9E8554" w14:textId="77777777" w:rsidR="00BB4EE4" w:rsidRPr="001045B7" w:rsidRDefault="00BB4EE4" w:rsidP="00AF6204">
            <w:pPr>
              <w:jc w:val="right"/>
              <w:rPr>
                <w:rFonts w:asciiTheme="minorHAnsi" w:hAnsiTheme="minorHAnsi" w:cstheme="minorHAnsi"/>
                <w:color w:val="000000"/>
                <w:sz w:val="17"/>
                <w:szCs w:val="17"/>
              </w:rPr>
            </w:pPr>
            <w:r w:rsidRPr="001045B7">
              <w:rPr>
                <w:rFonts w:asciiTheme="minorHAnsi" w:hAnsiTheme="minorHAnsi" w:cstheme="minorHAnsi"/>
                <w:color w:val="000000"/>
                <w:sz w:val="17"/>
                <w:szCs w:val="17"/>
              </w:rPr>
              <w:t> </w:t>
            </w:r>
          </w:p>
        </w:tc>
      </w:tr>
      <w:tr w:rsidR="00BB4EE4" w:rsidRPr="001045B7" w14:paraId="13689611"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34B40F" w14:textId="77777777" w:rsidR="00BB4EE4" w:rsidRPr="001045B7" w:rsidRDefault="00BB4EE4"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xml:space="preserve">4. Total de Gastos Contables </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8EC8F0C" w14:textId="77777777" w:rsidR="00BB4EE4" w:rsidRPr="001045B7" w:rsidRDefault="00BB4EE4"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3892E8" w14:textId="0E4D204E" w:rsidR="00BB4EE4" w:rsidRPr="001045B7" w:rsidRDefault="008E1D5B" w:rsidP="00AF6204">
            <w:pPr>
              <w:jc w:val="right"/>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59,619,573,673</w:t>
            </w:r>
          </w:p>
        </w:tc>
      </w:tr>
      <w:bookmarkEnd w:id="0"/>
    </w:tbl>
    <w:p w14:paraId="139E8F52" w14:textId="77777777" w:rsidR="00640E90" w:rsidRPr="001045B7" w:rsidRDefault="00640E90" w:rsidP="0011284C">
      <w:pPr>
        <w:spacing w:line="276" w:lineRule="auto"/>
        <w:rPr>
          <w:rFonts w:asciiTheme="minorHAnsi" w:hAnsiTheme="minorHAnsi" w:cstheme="minorHAnsi"/>
          <w:b/>
          <w:sz w:val="17"/>
          <w:szCs w:val="17"/>
        </w:rPr>
      </w:pPr>
    </w:p>
    <w:p w14:paraId="12CC7CC6" w14:textId="40DE1A42" w:rsidR="009C3626" w:rsidRPr="001045B7" w:rsidRDefault="009C3626" w:rsidP="00860054">
      <w:pPr>
        <w:pStyle w:val="Prrafodelista"/>
        <w:numPr>
          <w:ilvl w:val="0"/>
          <w:numId w:val="25"/>
        </w:numPr>
        <w:spacing w:line="276" w:lineRule="auto"/>
        <w:jc w:val="center"/>
        <w:rPr>
          <w:rFonts w:asciiTheme="minorHAnsi" w:hAnsiTheme="minorHAnsi" w:cstheme="minorHAnsi"/>
          <w:b/>
          <w:sz w:val="17"/>
          <w:szCs w:val="17"/>
        </w:rPr>
      </w:pPr>
      <w:r w:rsidRPr="001045B7">
        <w:rPr>
          <w:rFonts w:asciiTheme="minorHAnsi" w:hAnsiTheme="minorHAnsi" w:cstheme="minorHAnsi"/>
          <w:b/>
          <w:sz w:val="17"/>
          <w:szCs w:val="17"/>
        </w:rPr>
        <w:lastRenderedPageBreak/>
        <w:t>N</w:t>
      </w:r>
      <w:r w:rsidR="009310F5" w:rsidRPr="001045B7">
        <w:rPr>
          <w:rFonts w:asciiTheme="minorHAnsi" w:hAnsiTheme="minorHAnsi" w:cstheme="minorHAnsi"/>
          <w:b/>
          <w:sz w:val="17"/>
          <w:szCs w:val="17"/>
        </w:rPr>
        <w:t>OTAS DE MEMORIA (CUENTAS DE ORDEN)</w:t>
      </w:r>
    </w:p>
    <w:p w14:paraId="2FD7B4F3" w14:textId="517AEFA5" w:rsidR="00AE4AE6" w:rsidRPr="001045B7" w:rsidRDefault="00AE4AE6" w:rsidP="00860054">
      <w:pPr>
        <w:spacing w:line="276" w:lineRule="auto"/>
        <w:jc w:val="center"/>
        <w:rPr>
          <w:rFonts w:asciiTheme="minorHAnsi" w:hAnsiTheme="minorHAnsi" w:cstheme="minorHAnsi"/>
          <w:b/>
          <w:sz w:val="17"/>
          <w:szCs w:val="17"/>
        </w:rPr>
      </w:pPr>
    </w:p>
    <w:p w14:paraId="145E001C" w14:textId="77777777" w:rsidR="000E2E09" w:rsidRPr="001045B7" w:rsidRDefault="000E2E09" w:rsidP="004D442E">
      <w:pPr>
        <w:spacing w:line="276" w:lineRule="auto"/>
        <w:rPr>
          <w:rFonts w:asciiTheme="minorHAnsi" w:hAnsiTheme="minorHAnsi" w:cstheme="minorHAnsi"/>
          <w:sz w:val="17"/>
          <w:szCs w:val="17"/>
        </w:rPr>
      </w:pPr>
    </w:p>
    <w:p w14:paraId="1EC1E420" w14:textId="530DCD08" w:rsidR="004D442E" w:rsidRPr="001045B7" w:rsidRDefault="004D442E" w:rsidP="004D442E">
      <w:pPr>
        <w:spacing w:line="276" w:lineRule="auto"/>
        <w:rPr>
          <w:rFonts w:asciiTheme="minorHAnsi" w:hAnsiTheme="minorHAnsi" w:cstheme="minorHAnsi"/>
          <w:sz w:val="17"/>
          <w:szCs w:val="17"/>
        </w:rPr>
      </w:pPr>
      <w:r w:rsidRPr="001045B7">
        <w:rPr>
          <w:rFonts w:asciiTheme="minorHAnsi" w:hAnsiTheme="minorHAnsi" w:cstheme="minorHAnsi"/>
          <w:sz w:val="17"/>
          <w:szCs w:val="17"/>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537F904F" w14:textId="77777777" w:rsidR="00640E90" w:rsidRPr="001045B7" w:rsidRDefault="00640E90" w:rsidP="004D442E">
      <w:pPr>
        <w:spacing w:line="276" w:lineRule="auto"/>
        <w:rPr>
          <w:rFonts w:asciiTheme="minorHAnsi" w:hAnsiTheme="minorHAnsi" w:cstheme="minorHAnsi"/>
          <w:sz w:val="17"/>
          <w:szCs w:val="17"/>
        </w:rPr>
      </w:pPr>
    </w:p>
    <w:p w14:paraId="22B03356" w14:textId="77777777" w:rsidR="004D442E" w:rsidRPr="001045B7" w:rsidRDefault="004D442E" w:rsidP="004D442E">
      <w:pPr>
        <w:spacing w:line="276" w:lineRule="auto"/>
        <w:rPr>
          <w:rFonts w:asciiTheme="minorHAnsi" w:hAnsiTheme="minorHAnsi" w:cstheme="minorHAnsi"/>
          <w:sz w:val="17"/>
          <w:szCs w:val="17"/>
        </w:rPr>
      </w:pPr>
    </w:p>
    <w:p w14:paraId="0F5956DA" w14:textId="35F80133" w:rsidR="004D442E" w:rsidRPr="001045B7" w:rsidRDefault="004D442E" w:rsidP="004D442E">
      <w:pPr>
        <w:spacing w:line="276" w:lineRule="auto"/>
        <w:rPr>
          <w:rFonts w:asciiTheme="minorHAnsi" w:hAnsiTheme="minorHAnsi" w:cstheme="minorHAnsi"/>
          <w:sz w:val="17"/>
          <w:szCs w:val="17"/>
        </w:rPr>
      </w:pPr>
      <w:r w:rsidRPr="001045B7">
        <w:rPr>
          <w:rFonts w:asciiTheme="minorHAnsi" w:hAnsiTheme="minorHAnsi" w:cstheme="minorHAnsi"/>
          <w:sz w:val="17"/>
          <w:szCs w:val="17"/>
        </w:rPr>
        <w:t>Las cuentas que se manejan para efectos de estas Notas son las siguientes:</w:t>
      </w:r>
    </w:p>
    <w:p w14:paraId="0652DD9E" w14:textId="77777777" w:rsidR="00640E90" w:rsidRPr="001045B7" w:rsidRDefault="00640E90" w:rsidP="004D442E">
      <w:pPr>
        <w:spacing w:line="276" w:lineRule="auto"/>
        <w:rPr>
          <w:rFonts w:asciiTheme="minorHAnsi" w:hAnsiTheme="minorHAnsi" w:cstheme="minorHAnsi"/>
          <w:sz w:val="17"/>
          <w:szCs w:val="17"/>
        </w:rPr>
      </w:pPr>
    </w:p>
    <w:p w14:paraId="1FE4E795" w14:textId="77777777" w:rsidR="004D442E" w:rsidRPr="001045B7" w:rsidRDefault="004D442E" w:rsidP="004D442E">
      <w:pPr>
        <w:spacing w:line="276" w:lineRule="auto"/>
        <w:rPr>
          <w:rFonts w:asciiTheme="minorHAnsi" w:hAnsiTheme="minorHAnsi" w:cstheme="minorHAnsi"/>
          <w:sz w:val="17"/>
          <w:szCs w:val="17"/>
        </w:rPr>
      </w:pPr>
    </w:p>
    <w:p w14:paraId="716597A6" w14:textId="272982F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Cuentas de Orden Contables y Presupuestarias:</w:t>
      </w:r>
    </w:p>
    <w:p w14:paraId="32CD6786" w14:textId="77777777" w:rsidR="000D7620" w:rsidRPr="001045B7" w:rsidRDefault="000D7620" w:rsidP="004D442E">
      <w:pPr>
        <w:spacing w:line="276" w:lineRule="auto"/>
        <w:ind w:left="708"/>
        <w:rPr>
          <w:rFonts w:asciiTheme="minorHAnsi" w:hAnsiTheme="minorHAnsi" w:cstheme="minorHAnsi"/>
          <w:sz w:val="17"/>
          <w:szCs w:val="17"/>
        </w:rPr>
      </w:pPr>
    </w:p>
    <w:p w14:paraId="14ABE60E" w14:textId="6522C7AE" w:rsidR="00E00021" w:rsidRPr="001045B7" w:rsidRDefault="004D442E" w:rsidP="00E00021">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Contables:</w:t>
      </w:r>
    </w:p>
    <w:p w14:paraId="472DD552" w14:textId="467C16D6" w:rsidR="004D442E" w:rsidRPr="001045B7" w:rsidRDefault="004D442E" w:rsidP="001B3CC1">
      <w:pPr>
        <w:spacing w:line="276" w:lineRule="auto"/>
        <w:ind w:left="708" w:firstLine="708"/>
        <w:rPr>
          <w:rFonts w:asciiTheme="minorHAnsi" w:hAnsiTheme="minorHAnsi" w:cstheme="minorHAnsi"/>
          <w:sz w:val="17"/>
          <w:szCs w:val="17"/>
        </w:rPr>
      </w:pPr>
      <w:r w:rsidRPr="001045B7">
        <w:rPr>
          <w:rFonts w:asciiTheme="minorHAnsi" w:hAnsiTheme="minorHAnsi" w:cstheme="minorHAnsi"/>
          <w:sz w:val="17"/>
          <w:szCs w:val="17"/>
        </w:rPr>
        <w:t>Valores</w:t>
      </w:r>
    </w:p>
    <w:p w14:paraId="445D8D3F"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Emisión de obligaciones</w:t>
      </w:r>
    </w:p>
    <w:p w14:paraId="54007749"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Avales y garantías</w:t>
      </w:r>
    </w:p>
    <w:p w14:paraId="30ED1DB6"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Juicios</w:t>
      </w:r>
    </w:p>
    <w:p w14:paraId="6CC3BBC4" w14:textId="77777777" w:rsidR="004E2603"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 xml:space="preserve">Contratos para </w:t>
      </w:r>
    </w:p>
    <w:p w14:paraId="1F53E57A" w14:textId="77777777" w:rsidR="00EC1E61" w:rsidRPr="001045B7" w:rsidRDefault="00EC1E61" w:rsidP="004D442E">
      <w:pPr>
        <w:spacing w:line="276" w:lineRule="auto"/>
        <w:ind w:left="708"/>
        <w:rPr>
          <w:rFonts w:asciiTheme="minorHAnsi" w:hAnsiTheme="minorHAnsi" w:cstheme="minorHAnsi"/>
          <w:sz w:val="17"/>
          <w:szCs w:val="17"/>
        </w:rPr>
      </w:pPr>
    </w:p>
    <w:p w14:paraId="1399A211" w14:textId="1867341E"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Inversión Mediante Proyectos para Prestación de Servicios (</w:t>
      </w:r>
      <w:proofErr w:type="spellStart"/>
      <w:r w:rsidRPr="001045B7">
        <w:rPr>
          <w:rFonts w:asciiTheme="minorHAnsi" w:hAnsiTheme="minorHAnsi" w:cstheme="minorHAnsi"/>
          <w:sz w:val="17"/>
          <w:szCs w:val="17"/>
        </w:rPr>
        <w:t>PPS</w:t>
      </w:r>
      <w:proofErr w:type="spellEnd"/>
      <w:r w:rsidRPr="001045B7">
        <w:rPr>
          <w:rFonts w:asciiTheme="minorHAnsi" w:hAnsiTheme="minorHAnsi" w:cstheme="minorHAnsi"/>
          <w:sz w:val="17"/>
          <w:szCs w:val="17"/>
        </w:rPr>
        <w:t>) y Similares</w:t>
      </w:r>
    </w:p>
    <w:p w14:paraId="6F2959EA" w14:textId="77777777" w:rsidR="00EC1E61" w:rsidRPr="001045B7" w:rsidRDefault="00EC1E61" w:rsidP="004D442E">
      <w:pPr>
        <w:spacing w:line="276" w:lineRule="auto"/>
        <w:ind w:left="708"/>
        <w:rPr>
          <w:rFonts w:asciiTheme="minorHAnsi" w:hAnsiTheme="minorHAnsi" w:cstheme="minorHAnsi"/>
          <w:sz w:val="17"/>
          <w:szCs w:val="17"/>
        </w:rPr>
      </w:pPr>
    </w:p>
    <w:p w14:paraId="07EB1C94" w14:textId="4EA6C6E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Bienes concesionados o en comodato</w:t>
      </w:r>
    </w:p>
    <w:p w14:paraId="148C3FB7" w14:textId="77777777" w:rsidR="00E00021" w:rsidRPr="001045B7" w:rsidRDefault="00E00021" w:rsidP="004D442E">
      <w:pPr>
        <w:spacing w:line="276" w:lineRule="auto"/>
        <w:ind w:left="708"/>
        <w:rPr>
          <w:rFonts w:asciiTheme="minorHAnsi" w:hAnsiTheme="minorHAnsi" w:cstheme="minorHAnsi"/>
          <w:sz w:val="17"/>
          <w:szCs w:val="17"/>
        </w:rPr>
      </w:pPr>
    </w:p>
    <w:p w14:paraId="61B4084B" w14:textId="04309B22"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Presupuestarias:</w:t>
      </w:r>
    </w:p>
    <w:p w14:paraId="57BC27F0" w14:textId="77777777" w:rsidR="00AF32DC" w:rsidRPr="001045B7" w:rsidRDefault="00AF32DC" w:rsidP="004D442E">
      <w:pPr>
        <w:spacing w:line="276" w:lineRule="auto"/>
        <w:ind w:left="708"/>
        <w:rPr>
          <w:rFonts w:asciiTheme="minorHAnsi" w:hAnsiTheme="minorHAnsi" w:cstheme="minorHAnsi"/>
          <w:sz w:val="17"/>
          <w:szCs w:val="17"/>
        </w:rPr>
      </w:pPr>
    </w:p>
    <w:p w14:paraId="52AF1DBB"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Cuentas de ingresos</w:t>
      </w:r>
    </w:p>
    <w:p w14:paraId="23146BC6"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ab/>
        <w:t>Cuentas de egresos</w:t>
      </w:r>
    </w:p>
    <w:p w14:paraId="6177406D" w14:textId="77777777" w:rsidR="004D442E" w:rsidRPr="001045B7" w:rsidRDefault="004D442E" w:rsidP="004D442E">
      <w:pPr>
        <w:spacing w:line="276" w:lineRule="auto"/>
        <w:rPr>
          <w:rFonts w:asciiTheme="minorHAnsi" w:hAnsiTheme="minorHAnsi" w:cstheme="minorHAnsi"/>
          <w:sz w:val="17"/>
          <w:szCs w:val="17"/>
        </w:rPr>
      </w:pPr>
    </w:p>
    <w:p w14:paraId="36EF89F6" w14:textId="77777777" w:rsidR="004D442E" w:rsidRPr="001045B7" w:rsidRDefault="004D442E" w:rsidP="004D442E">
      <w:pPr>
        <w:spacing w:line="276" w:lineRule="auto"/>
        <w:rPr>
          <w:rFonts w:asciiTheme="minorHAnsi" w:hAnsiTheme="minorHAnsi" w:cstheme="minorHAnsi"/>
          <w:sz w:val="17"/>
          <w:szCs w:val="17"/>
        </w:rPr>
      </w:pPr>
      <w:r w:rsidRPr="001045B7">
        <w:rPr>
          <w:rFonts w:asciiTheme="minorHAnsi" w:hAnsiTheme="minorHAnsi" w:cstheme="minorHAnsi"/>
          <w:sz w:val="17"/>
          <w:szCs w:val="17"/>
        </w:rPr>
        <w:t>Se informa, de manera agrupada, en las Notas a los Estados Financieros las cuentas de orden contables y cuentas de orden presupuestarias, considerando al menos lo siguiente:</w:t>
      </w:r>
    </w:p>
    <w:p w14:paraId="1E8C7F95" w14:textId="77777777" w:rsidR="004D442E" w:rsidRPr="001045B7" w:rsidRDefault="004D442E" w:rsidP="004D442E">
      <w:pPr>
        <w:spacing w:line="276" w:lineRule="auto"/>
        <w:rPr>
          <w:rFonts w:asciiTheme="minorHAnsi" w:hAnsiTheme="minorHAnsi" w:cstheme="minorHAnsi"/>
          <w:sz w:val="17"/>
          <w:szCs w:val="17"/>
        </w:rPr>
      </w:pPr>
    </w:p>
    <w:p w14:paraId="0F07291C"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1. Los valores en custodia de instrumentos prestados a formadores de mercado e instrumentos de crédito recibidos en garantía de los formadores de mercado u otros.</w:t>
      </w:r>
    </w:p>
    <w:p w14:paraId="20C0D092"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2. Por tipo de emisión de instrumento: monto, tasa y vencimiento.</w:t>
      </w:r>
    </w:p>
    <w:p w14:paraId="200E29C3" w14:textId="77777777"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3. Los contratos firmados de construcciones por tipo de contrato.</w:t>
      </w:r>
    </w:p>
    <w:p w14:paraId="031E59E6" w14:textId="42754773" w:rsidR="004D442E" w:rsidRPr="001045B7" w:rsidRDefault="004D442E" w:rsidP="004D442E">
      <w:pPr>
        <w:spacing w:line="276" w:lineRule="auto"/>
        <w:ind w:left="708"/>
        <w:rPr>
          <w:rFonts w:asciiTheme="minorHAnsi" w:hAnsiTheme="minorHAnsi" w:cstheme="minorHAnsi"/>
          <w:sz w:val="17"/>
          <w:szCs w:val="17"/>
        </w:rPr>
      </w:pPr>
      <w:r w:rsidRPr="001045B7">
        <w:rPr>
          <w:rFonts w:asciiTheme="minorHAnsi" w:hAnsiTheme="minorHAnsi" w:cstheme="minorHAnsi"/>
          <w:sz w:val="17"/>
          <w:szCs w:val="17"/>
        </w:rPr>
        <w:t>4. El avance que se registra en las cuentas de orden presupuestarias, previo al cierre presupuestario de cada periodo que se reporte.</w:t>
      </w:r>
    </w:p>
    <w:p w14:paraId="2842E018" w14:textId="77777777" w:rsidR="004D442E" w:rsidRPr="001045B7" w:rsidRDefault="004D442E" w:rsidP="004D442E">
      <w:pPr>
        <w:spacing w:line="276" w:lineRule="auto"/>
        <w:ind w:left="708"/>
        <w:rPr>
          <w:rFonts w:asciiTheme="minorHAnsi" w:hAnsiTheme="minorHAnsi" w:cstheme="minorHAnsi"/>
          <w:sz w:val="17"/>
          <w:szCs w:val="17"/>
        </w:rPr>
      </w:pPr>
    </w:p>
    <w:p w14:paraId="0EA85B4F" w14:textId="60E5CC5B" w:rsidR="00C375D1" w:rsidRPr="001045B7" w:rsidRDefault="00C375D1" w:rsidP="00860054">
      <w:pPr>
        <w:spacing w:line="276" w:lineRule="auto"/>
        <w:rPr>
          <w:rFonts w:asciiTheme="minorHAnsi" w:hAnsiTheme="minorHAnsi" w:cstheme="minorHAnsi"/>
          <w:b/>
          <w:sz w:val="17"/>
          <w:szCs w:val="17"/>
        </w:rPr>
      </w:pPr>
    </w:p>
    <w:p w14:paraId="6ADDB12C" w14:textId="414E3E26" w:rsidR="00640E90" w:rsidRPr="001045B7" w:rsidRDefault="00640E90" w:rsidP="00860054">
      <w:pPr>
        <w:spacing w:line="276" w:lineRule="auto"/>
        <w:rPr>
          <w:rFonts w:asciiTheme="minorHAnsi" w:hAnsiTheme="minorHAnsi" w:cstheme="minorHAnsi"/>
          <w:b/>
          <w:sz w:val="17"/>
          <w:szCs w:val="17"/>
        </w:rPr>
      </w:pPr>
    </w:p>
    <w:p w14:paraId="71B3038E" w14:textId="66748821" w:rsidR="00640E90" w:rsidRPr="001045B7" w:rsidRDefault="00640E90" w:rsidP="00860054">
      <w:pPr>
        <w:spacing w:line="276" w:lineRule="auto"/>
        <w:rPr>
          <w:rFonts w:asciiTheme="minorHAnsi" w:hAnsiTheme="minorHAnsi" w:cstheme="minorHAnsi"/>
          <w:b/>
          <w:sz w:val="17"/>
          <w:szCs w:val="17"/>
        </w:rPr>
      </w:pPr>
    </w:p>
    <w:p w14:paraId="1F9751E0" w14:textId="55649BB0" w:rsidR="00640E90" w:rsidRPr="001045B7" w:rsidRDefault="00640E90" w:rsidP="00860054">
      <w:pPr>
        <w:spacing w:line="276" w:lineRule="auto"/>
        <w:rPr>
          <w:rFonts w:asciiTheme="minorHAnsi" w:hAnsiTheme="minorHAnsi" w:cstheme="minorHAnsi"/>
          <w:b/>
          <w:sz w:val="17"/>
          <w:szCs w:val="17"/>
        </w:rPr>
      </w:pPr>
    </w:p>
    <w:p w14:paraId="0586198E" w14:textId="354E263F" w:rsidR="00640E90" w:rsidRPr="001045B7" w:rsidRDefault="00640E90" w:rsidP="00860054">
      <w:pPr>
        <w:spacing w:line="276" w:lineRule="auto"/>
        <w:rPr>
          <w:rFonts w:asciiTheme="minorHAnsi" w:hAnsiTheme="minorHAnsi" w:cstheme="minorHAnsi"/>
          <w:b/>
          <w:sz w:val="17"/>
          <w:szCs w:val="17"/>
        </w:rPr>
      </w:pPr>
    </w:p>
    <w:p w14:paraId="744869C6" w14:textId="1878616E" w:rsidR="00AE4AE6" w:rsidRPr="001045B7" w:rsidRDefault="00AE4AE6" w:rsidP="00860054">
      <w:pPr>
        <w:spacing w:line="276" w:lineRule="auto"/>
        <w:rPr>
          <w:rFonts w:asciiTheme="minorHAnsi" w:hAnsiTheme="minorHAnsi" w:cstheme="minorHAnsi"/>
          <w:b/>
          <w:sz w:val="17"/>
          <w:szCs w:val="17"/>
        </w:rPr>
      </w:pPr>
      <w:r w:rsidRPr="001045B7">
        <w:rPr>
          <w:rFonts w:asciiTheme="minorHAnsi" w:hAnsiTheme="minorHAnsi" w:cstheme="minorHAnsi"/>
          <w:b/>
          <w:sz w:val="17"/>
          <w:szCs w:val="17"/>
        </w:rPr>
        <w:lastRenderedPageBreak/>
        <w:t>Cuentas de Orden Contables</w:t>
      </w:r>
    </w:p>
    <w:p w14:paraId="50FA178B" w14:textId="34F151B1" w:rsidR="004D442E" w:rsidRPr="001045B7" w:rsidRDefault="004D442E" w:rsidP="00860054">
      <w:pPr>
        <w:spacing w:line="276" w:lineRule="auto"/>
        <w:rPr>
          <w:rFonts w:asciiTheme="minorHAnsi" w:hAnsiTheme="minorHAnsi" w:cstheme="minorHAnsi"/>
          <w:b/>
          <w:sz w:val="17"/>
          <w:szCs w:val="17"/>
        </w:rPr>
      </w:pPr>
    </w:p>
    <w:p w14:paraId="35E1DDEF" w14:textId="1C747D28" w:rsidR="000E2E09" w:rsidRPr="001045B7" w:rsidRDefault="004D442E" w:rsidP="00860054">
      <w:pPr>
        <w:spacing w:line="276" w:lineRule="auto"/>
        <w:rPr>
          <w:rFonts w:asciiTheme="minorHAnsi" w:hAnsiTheme="minorHAnsi" w:cstheme="minorHAnsi"/>
          <w:sz w:val="17"/>
          <w:szCs w:val="17"/>
        </w:rPr>
      </w:pPr>
      <w:r w:rsidRPr="001045B7">
        <w:rPr>
          <w:rFonts w:asciiTheme="minorHAnsi" w:hAnsiTheme="minorHAnsi" w:cstheme="minorHAnsi"/>
          <w:sz w:val="17"/>
          <w:szCs w:val="17"/>
        </w:rPr>
        <w:t>Avales y garantías:</w:t>
      </w:r>
    </w:p>
    <w:p w14:paraId="3C4190C3" w14:textId="7CE79A19" w:rsidR="004D442E" w:rsidRPr="001045B7" w:rsidRDefault="000D7620" w:rsidP="004D442E">
      <w:pPr>
        <w:autoSpaceDE w:val="0"/>
        <w:autoSpaceDN w:val="0"/>
        <w:adjustRightInd w:val="0"/>
        <w:spacing w:before="240" w:after="12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 xml:space="preserve"> </w:t>
      </w:r>
      <w:r w:rsidR="004D442E" w:rsidRPr="001045B7">
        <w:rPr>
          <w:rFonts w:asciiTheme="minorHAnsi" w:eastAsia="Calibri" w:hAnsiTheme="minorHAnsi" w:cstheme="minorHAnsi"/>
          <w:b/>
          <w:spacing w:val="-1"/>
          <w:sz w:val="17"/>
          <w:szCs w:val="17"/>
        </w:rPr>
        <w:t>(Pesos)</w:t>
      </w:r>
    </w:p>
    <w:tbl>
      <w:tblPr>
        <w:tblpPr w:leftFromText="141" w:rightFromText="141" w:vertAnchor="page" w:horzAnchor="margin" w:tblpXSpec="center" w:tblpY="2866"/>
        <w:tblW w:w="9952" w:type="dxa"/>
        <w:tblCellMar>
          <w:left w:w="70" w:type="dxa"/>
          <w:right w:w="70" w:type="dxa"/>
        </w:tblCellMar>
        <w:tblLook w:val="04A0" w:firstRow="1" w:lastRow="0" w:firstColumn="1" w:lastColumn="0" w:noHBand="0" w:noVBand="1"/>
      </w:tblPr>
      <w:tblGrid>
        <w:gridCol w:w="3920"/>
        <w:gridCol w:w="1751"/>
        <w:gridCol w:w="1484"/>
        <w:gridCol w:w="1476"/>
        <w:gridCol w:w="1321"/>
      </w:tblGrid>
      <w:tr w:rsidR="00640E90" w:rsidRPr="001045B7" w14:paraId="2A9D4955" w14:textId="77777777" w:rsidTr="00640E90">
        <w:trPr>
          <w:trHeight w:val="242"/>
        </w:trPr>
        <w:tc>
          <w:tcPr>
            <w:tcW w:w="3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E05E05" w14:textId="77777777" w:rsidR="00640E90" w:rsidRPr="001045B7" w:rsidRDefault="00640E90" w:rsidP="00640E90">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17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83A5BB" w14:textId="77777777" w:rsidR="00640E90" w:rsidRPr="001045B7" w:rsidRDefault="00640E90" w:rsidP="00640E90">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TIPO</w:t>
            </w:r>
          </w:p>
        </w:tc>
        <w:tc>
          <w:tcPr>
            <w:tcW w:w="14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79CE74" w14:textId="77777777" w:rsidR="00640E90" w:rsidRPr="001045B7" w:rsidRDefault="00640E90" w:rsidP="00640E90">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F1F19B" w14:textId="77777777" w:rsidR="00640E90" w:rsidRPr="001045B7" w:rsidRDefault="00640E90" w:rsidP="00640E90">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TASA</w:t>
            </w:r>
          </w:p>
        </w:tc>
        <w:tc>
          <w:tcPr>
            <w:tcW w:w="132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CED3B9" w14:textId="77777777" w:rsidR="00640E90" w:rsidRPr="001045B7" w:rsidRDefault="00640E90" w:rsidP="00640E90">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VENCIMIENTO</w:t>
            </w:r>
          </w:p>
        </w:tc>
      </w:tr>
      <w:tr w:rsidR="00640E90" w:rsidRPr="001045B7" w14:paraId="6468E321" w14:textId="77777777" w:rsidTr="00640E90">
        <w:trPr>
          <w:trHeight w:val="242"/>
        </w:trPr>
        <w:tc>
          <w:tcPr>
            <w:tcW w:w="3920" w:type="dxa"/>
            <w:tcBorders>
              <w:top w:val="nil"/>
              <w:left w:val="single" w:sz="4" w:space="0" w:color="auto"/>
              <w:bottom w:val="nil"/>
              <w:right w:val="single" w:sz="4" w:space="0" w:color="auto"/>
            </w:tcBorders>
            <w:shd w:val="clear" w:color="auto" w:fill="auto"/>
            <w:vAlign w:val="center"/>
            <w:hideMark/>
          </w:tcPr>
          <w:p w14:paraId="6F1315A5" w14:textId="77777777" w:rsidR="00640E90" w:rsidRPr="001045B7" w:rsidRDefault="00640E90" w:rsidP="00640E90">
            <w:pPr>
              <w:rPr>
                <w:rFonts w:asciiTheme="minorHAnsi" w:hAnsiTheme="minorHAnsi" w:cstheme="minorHAnsi"/>
                <w:color w:val="000000"/>
                <w:sz w:val="17"/>
                <w:szCs w:val="17"/>
              </w:rPr>
            </w:pPr>
            <w:r w:rsidRPr="001045B7">
              <w:rPr>
                <w:rFonts w:asciiTheme="minorHAnsi" w:hAnsiTheme="minorHAnsi" w:cstheme="minorHAnsi"/>
                <w:color w:val="000000"/>
                <w:sz w:val="17"/>
                <w:szCs w:val="17"/>
              </w:rPr>
              <w:t>Avales Autorizados</w:t>
            </w:r>
          </w:p>
        </w:tc>
        <w:tc>
          <w:tcPr>
            <w:tcW w:w="1751" w:type="dxa"/>
            <w:tcBorders>
              <w:top w:val="nil"/>
              <w:left w:val="nil"/>
              <w:bottom w:val="nil"/>
              <w:right w:val="single" w:sz="4" w:space="0" w:color="auto"/>
            </w:tcBorders>
            <w:shd w:val="clear" w:color="auto" w:fill="auto"/>
            <w:vAlign w:val="center"/>
            <w:hideMark/>
          </w:tcPr>
          <w:p w14:paraId="4A325DFE" w14:textId="77777777" w:rsidR="00640E90" w:rsidRPr="001045B7" w:rsidRDefault="00640E90" w:rsidP="00640E9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Deuda Avalada</w:t>
            </w:r>
          </w:p>
        </w:tc>
        <w:tc>
          <w:tcPr>
            <w:tcW w:w="1484" w:type="dxa"/>
            <w:tcBorders>
              <w:top w:val="nil"/>
              <w:left w:val="nil"/>
              <w:bottom w:val="nil"/>
              <w:right w:val="single" w:sz="4" w:space="0" w:color="auto"/>
            </w:tcBorders>
            <w:shd w:val="clear" w:color="auto" w:fill="auto"/>
            <w:vAlign w:val="center"/>
          </w:tcPr>
          <w:p w14:paraId="094CA747" w14:textId="77777777" w:rsidR="00640E90" w:rsidRPr="001045B7" w:rsidRDefault="00640E90" w:rsidP="00640E90">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72,395,079</w:t>
            </w:r>
          </w:p>
        </w:tc>
        <w:tc>
          <w:tcPr>
            <w:tcW w:w="1476" w:type="dxa"/>
            <w:tcBorders>
              <w:top w:val="nil"/>
              <w:left w:val="nil"/>
              <w:bottom w:val="nil"/>
              <w:right w:val="single" w:sz="4" w:space="0" w:color="auto"/>
            </w:tcBorders>
            <w:shd w:val="clear" w:color="auto" w:fill="auto"/>
            <w:vAlign w:val="center"/>
            <w:hideMark/>
          </w:tcPr>
          <w:p w14:paraId="5CBA05A4" w14:textId="77777777" w:rsidR="00640E90" w:rsidRPr="001045B7" w:rsidRDefault="00640E90" w:rsidP="00640E90">
            <w:pPr>
              <w:jc w:val="center"/>
              <w:rPr>
                <w:rFonts w:asciiTheme="minorHAnsi" w:hAnsiTheme="minorHAnsi" w:cstheme="minorHAnsi"/>
                <w:bCs/>
                <w:color w:val="000000"/>
                <w:sz w:val="17"/>
                <w:szCs w:val="17"/>
              </w:rPr>
            </w:pPr>
            <w:proofErr w:type="spellStart"/>
            <w:r w:rsidRPr="001045B7">
              <w:rPr>
                <w:rFonts w:asciiTheme="minorHAnsi" w:hAnsiTheme="minorHAnsi" w:cstheme="minorHAnsi"/>
                <w:bCs/>
                <w:color w:val="000000"/>
                <w:sz w:val="17"/>
                <w:szCs w:val="17"/>
              </w:rPr>
              <w:t>TIIE</w:t>
            </w:r>
            <w:proofErr w:type="spellEnd"/>
            <w:r w:rsidRPr="001045B7">
              <w:rPr>
                <w:rFonts w:asciiTheme="minorHAnsi" w:hAnsiTheme="minorHAnsi" w:cstheme="minorHAnsi"/>
                <w:bCs/>
                <w:color w:val="000000"/>
                <w:sz w:val="17"/>
                <w:szCs w:val="17"/>
              </w:rPr>
              <w:t xml:space="preserve"> + 1.70</w:t>
            </w:r>
          </w:p>
        </w:tc>
        <w:tc>
          <w:tcPr>
            <w:tcW w:w="1321" w:type="dxa"/>
            <w:tcBorders>
              <w:top w:val="nil"/>
              <w:left w:val="nil"/>
              <w:bottom w:val="nil"/>
              <w:right w:val="single" w:sz="4" w:space="0" w:color="auto"/>
            </w:tcBorders>
            <w:shd w:val="clear" w:color="auto" w:fill="auto"/>
            <w:vAlign w:val="center"/>
            <w:hideMark/>
          </w:tcPr>
          <w:p w14:paraId="67773CEB" w14:textId="77777777" w:rsidR="00640E90" w:rsidRPr="001045B7" w:rsidRDefault="00640E90" w:rsidP="00640E9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23/10/2027</w:t>
            </w:r>
          </w:p>
        </w:tc>
      </w:tr>
      <w:tr w:rsidR="00640E90" w:rsidRPr="001045B7" w14:paraId="1E41CEB9" w14:textId="77777777" w:rsidTr="00640E90">
        <w:trPr>
          <w:trHeight w:val="242"/>
        </w:trPr>
        <w:tc>
          <w:tcPr>
            <w:tcW w:w="3920" w:type="dxa"/>
            <w:tcBorders>
              <w:top w:val="nil"/>
              <w:left w:val="single" w:sz="4" w:space="0" w:color="auto"/>
              <w:bottom w:val="single" w:sz="4" w:space="0" w:color="auto"/>
              <w:right w:val="single" w:sz="4" w:space="0" w:color="auto"/>
            </w:tcBorders>
            <w:shd w:val="clear" w:color="auto" w:fill="auto"/>
            <w:vAlign w:val="center"/>
          </w:tcPr>
          <w:p w14:paraId="26DE4813" w14:textId="77777777" w:rsidR="00640E90" w:rsidRPr="001045B7" w:rsidRDefault="00640E90" w:rsidP="00640E90">
            <w:pPr>
              <w:rPr>
                <w:rFonts w:asciiTheme="minorHAnsi" w:hAnsiTheme="minorHAnsi" w:cstheme="minorHAnsi"/>
                <w:color w:val="000000"/>
                <w:sz w:val="17"/>
                <w:szCs w:val="17"/>
              </w:rPr>
            </w:pPr>
            <w:r w:rsidRPr="001045B7">
              <w:rPr>
                <w:rFonts w:asciiTheme="minorHAnsi" w:hAnsiTheme="minorHAnsi" w:cstheme="minorHAnsi"/>
                <w:color w:val="000000"/>
                <w:sz w:val="17"/>
                <w:szCs w:val="17"/>
              </w:rPr>
              <w:t>Suscripción de Contratos de Préstamos y Otras Obligaciones de la Deuda Pública Interna</w:t>
            </w:r>
          </w:p>
        </w:tc>
        <w:tc>
          <w:tcPr>
            <w:tcW w:w="1751" w:type="dxa"/>
            <w:tcBorders>
              <w:top w:val="nil"/>
              <w:left w:val="nil"/>
              <w:bottom w:val="single" w:sz="4" w:space="0" w:color="auto"/>
              <w:right w:val="single" w:sz="4" w:space="0" w:color="auto"/>
            </w:tcBorders>
            <w:shd w:val="clear" w:color="auto" w:fill="auto"/>
            <w:vAlign w:val="center"/>
          </w:tcPr>
          <w:p w14:paraId="387FC7A3" w14:textId="77777777" w:rsidR="00640E90" w:rsidRPr="001045B7" w:rsidRDefault="00640E90" w:rsidP="00640E9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Línea de Crédito Contingente</w:t>
            </w:r>
          </w:p>
        </w:tc>
        <w:tc>
          <w:tcPr>
            <w:tcW w:w="1484" w:type="dxa"/>
            <w:tcBorders>
              <w:top w:val="nil"/>
              <w:left w:val="nil"/>
              <w:bottom w:val="single" w:sz="4" w:space="0" w:color="auto"/>
              <w:right w:val="single" w:sz="4" w:space="0" w:color="auto"/>
            </w:tcBorders>
            <w:shd w:val="clear" w:color="auto" w:fill="auto"/>
            <w:vAlign w:val="center"/>
          </w:tcPr>
          <w:p w14:paraId="191A7DAD" w14:textId="77777777" w:rsidR="00640E90" w:rsidRPr="001045B7" w:rsidRDefault="00640E90" w:rsidP="00640E90">
            <w:pPr>
              <w:jc w:val="right"/>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65,842,628</w:t>
            </w:r>
          </w:p>
        </w:tc>
        <w:tc>
          <w:tcPr>
            <w:tcW w:w="1476" w:type="dxa"/>
            <w:tcBorders>
              <w:top w:val="nil"/>
              <w:left w:val="nil"/>
              <w:bottom w:val="single" w:sz="4" w:space="0" w:color="auto"/>
              <w:right w:val="single" w:sz="4" w:space="0" w:color="auto"/>
            </w:tcBorders>
            <w:shd w:val="clear" w:color="auto" w:fill="auto"/>
            <w:vAlign w:val="center"/>
          </w:tcPr>
          <w:p w14:paraId="285417F0" w14:textId="77777777" w:rsidR="00640E90" w:rsidRPr="001045B7" w:rsidRDefault="00640E90" w:rsidP="00640E90">
            <w:pPr>
              <w:jc w:val="center"/>
              <w:rPr>
                <w:rFonts w:asciiTheme="minorHAnsi" w:hAnsiTheme="minorHAnsi" w:cstheme="minorHAnsi"/>
                <w:bCs/>
                <w:color w:val="000000"/>
                <w:sz w:val="17"/>
                <w:szCs w:val="17"/>
              </w:rPr>
            </w:pPr>
            <w:proofErr w:type="spellStart"/>
            <w:r w:rsidRPr="001045B7">
              <w:rPr>
                <w:rFonts w:asciiTheme="minorHAnsi" w:hAnsiTheme="minorHAnsi" w:cstheme="minorHAnsi"/>
                <w:bCs/>
                <w:color w:val="000000"/>
                <w:sz w:val="17"/>
                <w:szCs w:val="17"/>
              </w:rPr>
              <w:t>TIIE</w:t>
            </w:r>
            <w:proofErr w:type="spellEnd"/>
            <w:r w:rsidRPr="001045B7">
              <w:rPr>
                <w:rFonts w:asciiTheme="minorHAnsi" w:hAnsiTheme="minorHAnsi" w:cstheme="minorHAnsi"/>
                <w:bCs/>
                <w:color w:val="000000"/>
                <w:sz w:val="17"/>
                <w:szCs w:val="17"/>
              </w:rPr>
              <w:t xml:space="preserve"> + 2.77</w:t>
            </w:r>
          </w:p>
        </w:tc>
        <w:tc>
          <w:tcPr>
            <w:tcW w:w="1321" w:type="dxa"/>
            <w:tcBorders>
              <w:top w:val="nil"/>
              <w:left w:val="nil"/>
              <w:bottom w:val="single" w:sz="4" w:space="0" w:color="auto"/>
              <w:right w:val="single" w:sz="4" w:space="0" w:color="auto"/>
            </w:tcBorders>
            <w:shd w:val="clear" w:color="auto" w:fill="auto"/>
            <w:vAlign w:val="center"/>
          </w:tcPr>
          <w:p w14:paraId="3D270D9B" w14:textId="77777777" w:rsidR="00640E90" w:rsidRPr="001045B7" w:rsidRDefault="00640E90" w:rsidP="00640E90">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01/09/2035</w:t>
            </w:r>
          </w:p>
        </w:tc>
      </w:tr>
    </w:tbl>
    <w:p w14:paraId="5C0FB22F" w14:textId="77777777" w:rsidR="00B97023" w:rsidRPr="001045B7" w:rsidRDefault="00B97023" w:rsidP="004D442E">
      <w:pPr>
        <w:autoSpaceDE w:val="0"/>
        <w:autoSpaceDN w:val="0"/>
        <w:adjustRightInd w:val="0"/>
        <w:spacing w:before="240" w:after="120"/>
        <w:jc w:val="center"/>
        <w:rPr>
          <w:rFonts w:asciiTheme="minorHAnsi" w:eastAsia="Calibri" w:hAnsiTheme="minorHAnsi" w:cstheme="minorHAnsi"/>
          <w:b/>
          <w:spacing w:val="-1"/>
          <w:sz w:val="17"/>
          <w:szCs w:val="17"/>
        </w:rPr>
      </w:pPr>
    </w:p>
    <w:p w14:paraId="11D2E722" w14:textId="2B8FB11A" w:rsidR="000D7620" w:rsidRPr="001045B7" w:rsidRDefault="000D7620" w:rsidP="004D442E">
      <w:pPr>
        <w:pStyle w:val="Prrafodelista"/>
        <w:spacing w:before="80" w:line="250" w:lineRule="exact"/>
        <w:ind w:left="851" w:right="-1559"/>
        <w:jc w:val="both"/>
        <w:rPr>
          <w:rFonts w:asciiTheme="minorHAnsi" w:eastAsia="Calibri" w:hAnsiTheme="minorHAnsi" w:cstheme="minorHAnsi"/>
          <w:spacing w:val="-1"/>
          <w:sz w:val="17"/>
          <w:szCs w:val="17"/>
        </w:rPr>
      </w:pPr>
    </w:p>
    <w:p w14:paraId="448A053C" w14:textId="5C66CA1D" w:rsidR="000D7620" w:rsidRPr="001045B7" w:rsidRDefault="000D7620" w:rsidP="004D442E">
      <w:pPr>
        <w:pStyle w:val="Prrafodelista"/>
        <w:spacing w:before="80" w:line="250" w:lineRule="exact"/>
        <w:ind w:left="851" w:right="-1559"/>
        <w:jc w:val="both"/>
        <w:rPr>
          <w:rFonts w:asciiTheme="minorHAnsi" w:eastAsia="Calibri" w:hAnsiTheme="minorHAnsi" w:cstheme="minorHAnsi"/>
          <w:spacing w:val="-1"/>
          <w:sz w:val="17"/>
          <w:szCs w:val="17"/>
        </w:rPr>
      </w:pPr>
    </w:p>
    <w:p w14:paraId="6E64A275" w14:textId="13BAD760" w:rsidR="00EC1E61" w:rsidRPr="001045B7" w:rsidRDefault="00EC1E61" w:rsidP="004D442E">
      <w:pPr>
        <w:pStyle w:val="Prrafodelista"/>
        <w:spacing w:before="80" w:line="250" w:lineRule="exact"/>
        <w:ind w:left="851" w:right="-1559"/>
        <w:jc w:val="both"/>
        <w:rPr>
          <w:rFonts w:asciiTheme="minorHAnsi" w:eastAsia="Calibri" w:hAnsiTheme="minorHAnsi" w:cstheme="minorHAnsi"/>
          <w:spacing w:val="-1"/>
          <w:sz w:val="17"/>
          <w:szCs w:val="17"/>
        </w:rPr>
      </w:pPr>
    </w:p>
    <w:p w14:paraId="5645A7D0" w14:textId="77777777" w:rsidR="000232E0" w:rsidRPr="001045B7" w:rsidRDefault="000232E0" w:rsidP="000D7620">
      <w:pPr>
        <w:spacing w:line="276" w:lineRule="auto"/>
        <w:rPr>
          <w:rFonts w:asciiTheme="minorHAnsi" w:hAnsiTheme="minorHAnsi" w:cstheme="minorHAnsi"/>
          <w:sz w:val="17"/>
          <w:szCs w:val="17"/>
        </w:rPr>
      </w:pPr>
    </w:p>
    <w:p w14:paraId="1E91B099" w14:textId="07C2C67F" w:rsidR="000D7620"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La deuda avalada por el monto de 72 millones corresponde a la garantía derivada de las obligaciones de la Comisión Estatal de Aguas, para cubrir cualquier incumplimiento de sus obligaciones de pago mensual a la persona moral a cargo de la operación del Acueducto II.</w:t>
      </w:r>
    </w:p>
    <w:p w14:paraId="5630952E" w14:textId="77777777" w:rsidR="000D7620" w:rsidRPr="001045B7" w:rsidRDefault="000D7620" w:rsidP="000D7620">
      <w:pPr>
        <w:spacing w:line="276" w:lineRule="auto"/>
        <w:rPr>
          <w:rFonts w:asciiTheme="minorHAnsi" w:hAnsiTheme="minorHAnsi" w:cstheme="minorHAnsi"/>
          <w:sz w:val="17"/>
          <w:szCs w:val="17"/>
        </w:rPr>
      </w:pPr>
    </w:p>
    <w:p w14:paraId="34D23D55" w14:textId="20D7D703" w:rsidR="004D442E"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La línea de crédito contingente por 65 millones es prevista por el Poder Ejecutivo del Estado de Querétaro para cubrir las obligaciones con el desarrollador inmobiliario respecto de los edificios construidos por este último en el Parque Aeroespacial de Querétaro, para el caso de que se dejen de generar rentas, por no tener arrendatario, siempre que no sea por causa imputable al desarrollador inmobiliario.</w:t>
      </w:r>
    </w:p>
    <w:p w14:paraId="61A99225" w14:textId="6019C910" w:rsidR="004D442E" w:rsidRPr="001045B7" w:rsidRDefault="004D442E" w:rsidP="00860054">
      <w:pPr>
        <w:spacing w:line="276" w:lineRule="auto"/>
        <w:rPr>
          <w:rFonts w:asciiTheme="minorHAnsi" w:hAnsiTheme="minorHAnsi" w:cstheme="minorHAnsi"/>
          <w:b/>
          <w:sz w:val="17"/>
          <w:szCs w:val="17"/>
        </w:rPr>
      </w:pPr>
    </w:p>
    <w:p w14:paraId="3D16F6E3" w14:textId="77777777" w:rsidR="000232E0" w:rsidRPr="001045B7" w:rsidRDefault="000232E0" w:rsidP="000D7620">
      <w:pPr>
        <w:spacing w:line="276" w:lineRule="auto"/>
        <w:rPr>
          <w:rFonts w:asciiTheme="minorHAnsi" w:hAnsiTheme="minorHAnsi" w:cstheme="minorHAnsi"/>
          <w:sz w:val="17"/>
          <w:szCs w:val="17"/>
        </w:rPr>
      </w:pPr>
    </w:p>
    <w:p w14:paraId="5843616C" w14:textId="20FDA105" w:rsidR="000D7620"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Bienes Arqueológicos, Artísticos e Históricos:</w:t>
      </w:r>
    </w:p>
    <w:p w14:paraId="0EBFF845" w14:textId="77777777" w:rsidR="00E00021" w:rsidRPr="001045B7" w:rsidRDefault="00E00021" w:rsidP="000D7620">
      <w:pPr>
        <w:spacing w:line="276" w:lineRule="auto"/>
        <w:rPr>
          <w:rFonts w:asciiTheme="minorHAnsi" w:hAnsiTheme="minorHAnsi" w:cstheme="minorHAnsi"/>
          <w:sz w:val="17"/>
          <w:szCs w:val="17"/>
        </w:rPr>
      </w:pPr>
    </w:p>
    <w:p w14:paraId="75AD22F1" w14:textId="6FA882DA" w:rsidR="000D7620"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Atendiendo a los lineamientos para el registro auxiliar sujeto a inventario de bienes arqueológicos, artísticos e históricos bajo custodia de los entes públicos a que hace referencia la Ley General de Contabilidad Gubernamental:</w:t>
      </w:r>
    </w:p>
    <w:p w14:paraId="18801B79" w14:textId="4A8592BF" w:rsidR="00565E80" w:rsidRPr="001045B7" w:rsidRDefault="000D7620" w:rsidP="001174F8">
      <w:pPr>
        <w:autoSpaceDE w:val="0"/>
        <w:autoSpaceDN w:val="0"/>
        <w:adjustRightInd w:val="0"/>
        <w:spacing w:before="240" w:after="120"/>
        <w:ind w:left="284"/>
        <w:jc w:val="center"/>
        <w:rPr>
          <w:rFonts w:asciiTheme="minorHAnsi" w:hAnsiTheme="minorHAnsi" w:cstheme="minorHAnsi"/>
          <w:b/>
          <w:bCs/>
          <w:color w:val="000000"/>
          <w:sz w:val="17"/>
          <w:szCs w:val="17"/>
        </w:rPr>
      </w:pPr>
      <w:r w:rsidRPr="001045B7">
        <w:rPr>
          <w:rFonts w:asciiTheme="minorHAnsi" w:eastAsia="Calibri" w:hAnsiTheme="minorHAnsi" w:cstheme="minorHAnsi"/>
          <w:b/>
          <w:spacing w:val="-1"/>
          <w:sz w:val="17"/>
          <w:szCs w:val="17"/>
        </w:rPr>
        <w:t>(Pesos)</w:t>
      </w:r>
    </w:p>
    <w:tbl>
      <w:tblPr>
        <w:tblW w:w="9260" w:type="dxa"/>
        <w:tblInd w:w="1641" w:type="dxa"/>
        <w:tblCellMar>
          <w:left w:w="70" w:type="dxa"/>
          <w:right w:w="70" w:type="dxa"/>
        </w:tblCellMar>
        <w:tblLook w:val="04A0" w:firstRow="1" w:lastRow="0" w:firstColumn="1" w:lastColumn="0" w:noHBand="0" w:noVBand="1"/>
      </w:tblPr>
      <w:tblGrid>
        <w:gridCol w:w="4900"/>
        <w:gridCol w:w="2180"/>
        <w:gridCol w:w="2180"/>
      </w:tblGrid>
      <w:tr w:rsidR="000D7620" w:rsidRPr="001045B7" w14:paraId="48FE55A4"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932F18"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8274C6"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C6AD98"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BIENES</w:t>
            </w:r>
          </w:p>
        </w:tc>
      </w:tr>
      <w:tr w:rsidR="000D7620" w:rsidRPr="001045B7" w14:paraId="3739209D"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602861F9"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Arqueológicos</w:t>
            </w:r>
          </w:p>
        </w:tc>
        <w:tc>
          <w:tcPr>
            <w:tcW w:w="2180" w:type="dxa"/>
            <w:tcBorders>
              <w:top w:val="nil"/>
              <w:left w:val="nil"/>
              <w:bottom w:val="single" w:sz="4" w:space="0" w:color="auto"/>
              <w:right w:val="single" w:sz="4" w:space="0" w:color="auto"/>
            </w:tcBorders>
            <w:shd w:val="clear" w:color="auto" w:fill="auto"/>
            <w:vAlign w:val="center"/>
          </w:tcPr>
          <w:p w14:paraId="08436ECB"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Arqueológico</w:t>
            </w:r>
          </w:p>
        </w:tc>
        <w:tc>
          <w:tcPr>
            <w:tcW w:w="2180" w:type="dxa"/>
            <w:tcBorders>
              <w:top w:val="nil"/>
              <w:left w:val="nil"/>
              <w:bottom w:val="single" w:sz="4" w:space="0" w:color="auto"/>
              <w:right w:val="single" w:sz="4" w:space="0" w:color="auto"/>
            </w:tcBorders>
            <w:shd w:val="clear" w:color="auto" w:fill="auto"/>
          </w:tcPr>
          <w:p w14:paraId="1DFE135A"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3 </w:t>
            </w:r>
          </w:p>
        </w:tc>
      </w:tr>
      <w:tr w:rsidR="000D7620" w:rsidRPr="001045B7" w14:paraId="0CECEE1E"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25A4F45D"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Artísticos Muebles</w:t>
            </w:r>
          </w:p>
        </w:tc>
        <w:tc>
          <w:tcPr>
            <w:tcW w:w="2180" w:type="dxa"/>
            <w:tcBorders>
              <w:top w:val="nil"/>
              <w:left w:val="nil"/>
              <w:bottom w:val="single" w:sz="4" w:space="0" w:color="auto"/>
              <w:right w:val="single" w:sz="4" w:space="0" w:color="auto"/>
            </w:tcBorders>
            <w:shd w:val="clear" w:color="auto" w:fill="auto"/>
            <w:vAlign w:val="center"/>
            <w:hideMark/>
          </w:tcPr>
          <w:p w14:paraId="443F58A5"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tcPr>
          <w:p w14:paraId="4D388902"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293 </w:t>
            </w:r>
          </w:p>
        </w:tc>
      </w:tr>
      <w:tr w:rsidR="000D7620" w:rsidRPr="001045B7" w14:paraId="3487717F"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7877A6F3"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Artísticos Inmuebles</w:t>
            </w:r>
          </w:p>
        </w:tc>
        <w:tc>
          <w:tcPr>
            <w:tcW w:w="2180" w:type="dxa"/>
            <w:tcBorders>
              <w:top w:val="nil"/>
              <w:left w:val="nil"/>
              <w:bottom w:val="single" w:sz="4" w:space="0" w:color="auto"/>
              <w:right w:val="single" w:sz="4" w:space="0" w:color="auto"/>
            </w:tcBorders>
            <w:shd w:val="clear" w:color="auto" w:fill="auto"/>
            <w:vAlign w:val="center"/>
          </w:tcPr>
          <w:p w14:paraId="214C9F02"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tcPr>
          <w:p w14:paraId="137CC467"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18 </w:t>
            </w:r>
          </w:p>
        </w:tc>
      </w:tr>
      <w:tr w:rsidR="000D7620" w:rsidRPr="001045B7" w14:paraId="6EF30AA5"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4B19D2F4"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Históricos Muebles</w:t>
            </w:r>
          </w:p>
        </w:tc>
        <w:tc>
          <w:tcPr>
            <w:tcW w:w="2180" w:type="dxa"/>
            <w:tcBorders>
              <w:top w:val="nil"/>
              <w:left w:val="nil"/>
              <w:bottom w:val="single" w:sz="4" w:space="0" w:color="auto"/>
              <w:right w:val="single" w:sz="4" w:space="0" w:color="auto"/>
            </w:tcBorders>
            <w:shd w:val="clear" w:color="auto" w:fill="auto"/>
            <w:vAlign w:val="center"/>
            <w:hideMark/>
          </w:tcPr>
          <w:p w14:paraId="38BEAEDC"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Mueble</w:t>
            </w:r>
          </w:p>
        </w:tc>
        <w:tc>
          <w:tcPr>
            <w:tcW w:w="2180" w:type="dxa"/>
            <w:tcBorders>
              <w:top w:val="nil"/>
              <w:left w:val="nil"/>
              <w:bottom w:val="single" w:sz="4" w:space="0" w:color="auto"/>
              <w:right w:val="single" w:sz="4" w:space="0" w:color="auto"/>
            </w:tcBorders>
            <w:shd w:val="clear" w:color="auto" w:fill="auto"/>
          </w:tcPr>
          <w:p w14:paraId="06470E0F"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58 </w:t>
            </w:r>
          </w:p>
        </w:tc>
      </w:tr>
      <w:tr w:rsidR="000D7620" w:rsidRPr="001045B7" w14:paraId="5032966F"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7CEC5ACB"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Históricos Inmuebles</w:t>
            </w:r>
          </w:p>
        </w:tc>
        <w:tc>
          <w:tcPr>
            <w:tcW w:w="2180" w:type="dxa"/>
            <w:tcBorders>
              <w:top w:val="nil"/>
              <w:left w:val="nil"/>
              <w:bottom w:val="single" w:sz="4" w:space="0" w:color="auto"/>
              <w:right w:val="single" w:sz="4" w:space="0" w:color="auto"/>
            </w:tcBorders>
            <w:shd w:val="clear" w:color="auto" w:fill="auto"/>
            <w:vAlign w:val="center"/>
            <w:hideMark/>
          </w:tcPr>
          <w:p w14:paraId="12640B85"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Inmuebles</w:t>
            </w:r>
          </w:p>
        </w:tc>
        <w:tc>
          <w:tcPr>
            <w:tcW w:w="2180" w:type="dxa"/>
            <w:tcBorders>
              <w:top w:val="nil"/>
              <w:left w:val="nil"/>
              <w:bottom w:val="single" w:sz="4" w:space="0" w:color="auto"/>
              <w:right w:val="single" w:sz="4" w:space="0" w:color="auto"/>
            </w:tcBorders>
            <w:shd w:val="clear" w:color="auto" w:fill="auto"/>
          </w:tcPr>
          <w:p w14:paraId="231AA4D7"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42 </w:t>
            </w:r>
          </w:p>
        </w:tc>
      </w:tr>
      <w:tr w:rsidR="000D7620" w:rsidRPr="001045B7" w14:paraId="05A401E4"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3FC2015B" w14:textId="77777777" w:rsidR="000D7620" w:rsidRPr="001045B7" w:rsidRDefault="000D7620" w:rsidP="00AF6204">
            <w:pPr>
              <w:rPr>
                <w:rFonts w:asciiTheme="minorHAnsi" w:hAnsiTheme="minorHAnsi" w:cstheme="minorHAnsi"/>
                <w:color w:val="000000"/>
                <w:sz w:val="17"/>
                <w:szCs w:val="17"/>
              </w:rPr>
            </w:pPr>
            <w:r w:rsidRPr="001045B7">
              <w:rPr>
                <w:rFonts w:asciiTheme="minorHAnsi" w:hAnsiTheme="minorHAnsi" w:cstheme="minorHAnsi"/>
                <w:color w:val="000000"/>
                <w:sz w:val="17"/>
                <w:szCs w:val="17"/>
              </w:rPr>
              <w:t>Bienes Históricos Documentos y Expedientes</w:t>
            </w:r>
          </w:p>
        </w:tc>
        <w:tc>
          <w:tcPr>
            <w:tcW w:w="2180" w:type="dxa"/>
            <w:tcBorders>
              <w:top w:val="nil"/>
              <w:left w:val="nil"/>
              <w:bottom w:val="single" w:sz="4" w:space="0" w:color="auto"/>
              <w:right w:val="single" w:sz="4" w:space="0" w:color="auto"/>
            </w:tcBorders>
            <w:shd w:val="clear" w:color="auto" w:fill="auto"/>
            <w:vAlign w:val="center"/>
            <w:hideMark/>
          </w:tcPr>
          <w:p w14:paraId="10BAE285"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bCs/>
                <w:color w:val="000000"/>
                <w:sz w:val="17"/>
                <w:szCs w:val="17"/>
              </w:rPr>
              <w:t>Documentos</w:t>
            </w:r>
          </w:p>
        </w:tc>
        <w:tc>
          <w:tcPr>
            <w:tcW w:w="2180" w:type="dxa"/>
            <w:tcBorders>
              <w:top w:val="nil"/>
              <w:left w:val="nil"/>
              <w:bottom w:val="single" w:sz="4" w:space="0" w:color="auto"/>
              <w:right w:val="single" w:sz="4" w:space="0" w:color="auto"/>
            </w:tcBorders>
            <w:shd w:val="clear" w:color="auto" w:fill="auto"/>
          </w:tcPr>
          <w:p w14:paraId="6C90AF5A" w14:textId="77777777" w:rsidR="000D7620" w:rsidRPr="001045B7" w:rsidRDefault="000D7620" w:rsidP="00AF6204">
            <w:pPr>
              <w:jc w:val="center"/>
              <w:rPr>
                <w:rFonts w:asciiTheme="minorHAnsi" w:hAnsiTheme="minorHAnsi" w:cstheme="minorHAnsi"/>
                <w:bCs/>
                <w:color w:val="000000"/>
                <w:sz w:val="17"/>
                <w:szCs w:val="17"/>
              </w:rPr>
            </w:pPr>
            <w:r w:rsidRPr="001045B7">
              <w:rPr>
                <w:rFonts w:asciiTheme="minorHAnsi" w:hAnsiTheme="minorHAnsi" w:cstheme="minorHAnsi"/>
                <w:sz w:val="17"/>
                <w:szCs w:val="17"/>
              </w:rPr>
              <w:t xml:space="preserve"> 2,213 </w:t>
            </w:r>
          </w:p>
        </w:tc>
      </w:tr>
    </w:tbl>
    <w:p w14:paraId="105BA2A9" w14:textId="381BF1FB" w:rsidR="000D7620" w:rsidRPr="001045B7" w:rsidRDefault="000D7620" w:rsidP="000D7620">
      <w:pPr>
        <w:spacing w:line="276" w:lineRule="auto"/>
        <w:rPr>
          <w:rFonts w:asciiTheme="minorHAnsi" w:hAnsiTheme="minorHAnsi" w:cstheme="minorHAnsi"/>
          <w:sz w:val="17"/>
          <w:szCs w:val="17"/>
        </w:rPr>
      </w:pPr>
    </w:p>
    <w:p w14:paraId="67681CE7" w14:textId="3C7FD4C9" w:rsidR="000D7620"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Los bienes artísticos muebles; bienes históricos muebles; y los bienes históricos, documentos y expedientes, de conformidad a los Lineamientos para el Registro Auxiliar Sujeto a Inventario de Bienes Arqueológicos, Artísticos e Históricos Bajo Custodia de los Entes Públicos emitidos por el Consejo Nacional de Armonización Contable, se registran en cuentas de orden al valor de la unidad monetaria (un peso).</w:t>
      </w:r>
    </w:p>
    <w:p w14:paraId="0F12F418" w14:textId="77777777" w:rsidR="000D7620" w:rsidRPr="001045B7" w:rsidRDefault="000D7620" w:rsidP="000D7620">
      <w:pPr>
        <w:spacing w:line="276" w:lineRule="auto"/>
        <w:rPr>
          <w:rFonts w:asciiTheme="minorHAnsi" w:hAnsiTheme="minorHAnsi" w:cstheme="minorHAnsi"/>
          <w:sz w:val="17"/>
          <w:szCs w:val="17"/>
        </w:rPr>
      </w:pPr>
    </w:p>
    <w:p w14:paraId="7DF793E7" w14:textId="2B58E0C6" w:rsidR="000D7620" w:rsidRPr="001045B7" w:rsidRDefault="000D7620" w:rsidP="000D7620">
      <w:pPr>
        <w:spacing w:line="276" w:lineRule="auto"/>
        <w:rPr>
          <w:rFonts w:asciiTheme="minorHAnsi" w:hAnsiTheme="minorHAnsi" w:cstheme="minorHAnsi"/>
          <w:sz w:val="17"/>
          <w:szCs w:val="17"/>
        </w:rPr>
      </w:pPr>
      <w:r w:rsidRPr="001045B7">
        <w:rPr>
          <w:rFonts w:asciiTheme="minorHAnsi" w:hAnsiTheme="minorHAnsi" w:cstheme="minorHAnsi"/>
          <w:sz w:val="17"/>
          <w:szCs w:val="17"/>
        </w:rPr>
        <w:t>Los bienes históricos inmuebles se encuentran registrados a valor catastral.</w:t>
      </w:r>
    </w:p>
    <w:p w14:paraId="3E88620B" w14:textId="0F377BCC" w:rsidR="00580082" w:rsidRPr="001045B7" w:rsidRDefault="00580082" w:rsidP="00860054">
      <w:pPr>
        <w:spacing w:line="276" w:lineRule="auto"/>
        <w:rPr>
          <w:rFonts w:asciiTheme="minorHAnsi" w:hAnsiTheme="minorHAnsi" w:cstheme="minorHAnsi"/>
          <w:b/>
          <w:sz w:val="17"/>
          <w:szCs w:val="17"/>
        </w:rPr>
      </w:pPr>
    </w:p>
    <w:p w14:paraId="5C2B0D9B" w14:textId="3F3312BB" w:rsidR="00AE4AE6" w:rsidRPr="001045B7" w:rsidRDefault="00AE4AE6" w:rsidP="00860054">
      <w:pPr>
        <w:spacing w:line="276" w:lineRule="auto"/>
        <w:rPr>
          <w:rFonts w:asciiTheme="minorHAnsi" w:hAnsiTheme="minorHAnsi" w:cstheme="minorHAnsi"/>
          <w:b/>
          <w:sz w:val="17"/>
          <w:szCs w:val="17"/>
        </w:rPr>
      </w:pPr>
      <w:r w:rsidRPr="001045B7">
        <w:rPr>
          <w:rFonts w:asciiTheme="minorHAnsi" w:hAnsiTheme="minorHAnsi" w:cstheme="minorHAnsi"/>
          <w:b/>
          <w:sz w:val="17"/>
          <w:szCs w:val="17"/>
        </w:rPr>
        <w:lastRenderedPageBreak/>
        <w:t>Cuentas de Orden Presupuestario</w:t>
      </w:r>
    </w:p>
    <w:p w14:paraId="42FAD4FE" w14:textId="7E39954F" w:rsidR="001325A4" w:rsidRPr="001045B7" w:rsidRDefault="001325A4" w:rsidP="00860054">
      <w:pPr>
        <w:spacing w:line="276" w:lineRule="auto"/>
        <w:jc w:val="both"/>
        <w:rPr>
          <w:rFonts w:asciiTheme="minorHAnsi" w:hAnsiTheme="minorHAnsi" w:cstheme="minorHAnsi"/>
          <w:sz w:val="17"/>
          <w:szCs w:val="17"/>
        </w:rPr>
      </w:pPr>
    </w:p>
    <w:p w14:paraId="494F2E3F" w14:textId="19E8A89E" w:rsidR="000D7620" w:rsidRPr="001045B7" w:rsidRDefault="000D7620" w:rsidP="00860054">
      <w:pPr>
        <w:spacing w:line="276" w:lineRule="auto"/>
        <w:jc w:val="both"/>
        <w:rPr>
          <w:rFonts w:asciiTheme="minorHAnsi" w:hAnsiTheme="minorHAnsi" w:cstheme="minorHAnsi"/>
          <w:sz w:val="17"/>
          <w:szCs w:val="17"/>
        </w:rPr>
      </w:pPr>
      <w:r w:rsidRPr="001045B7">
        <w:rPr>
          <w:rFonts w:asciiTheme="minorHAnsi" w:hAnsiTheme="minorHAnsi" w:cstheme="minorHAnsi"/>
          <w:sz w:val="17"/>
          <w:szCs w:val="17"/>
        </w:rPr>
        <w:t xml:space="preserve">Se informa el avance que se registra en las cuentas de orden presupuestarias al </w:t>
      </w:r>
      <w:r w:rsidR="00480687" w:rsidRPr="001045B7">
        <w:rPr>
          <w:rFonts w:asciiTheme="minorHAnsi" w:hAnsiTheme="minorHAnsi" w:cstheme="minorHAnsi"/>
          <w:sz w:val="17"/>
          <w:szCs w:val="17"/>
        </w:rPr>
        <w:t>31 (treinta y uno)</w:t>
      </w:r>
      <w:r w:rsidR="00567890" w:rsidRPr="001045B7">
        <w:rPr>
          <w:rFonts w:asciiTheme="minorHAnsi" w:hAnsiTheme="minorHAnsi" w:cstheme="minorHAnsi"/>
          <w:sz w:val="17"/>
          <w:szCs w:val="17"/>
        </w:rPr>
        <w:t xml:space="preserve"> de </w:t>
      </w:r>
      <w:r w:rsidR="00480687" w:rsidRPr="001045B7">
        <w:rPr>
          <w:rFonts w:asciiTheme="minorHAnsi" w:hAnsiTheme="minorHAnsi" w:cstheme="minorHAnsi"/>
          <w:sz w:val="17"/>
          <w:szCs w:val="17"/>
        </w:rPr>
        <w:t>diciembre</w:t>
      </w:r>
      <w:r w:rsidR="00567890" w:rsidRPr="001045B7">
        <w:rPr>
          <w:rFonts w:asciiTheme="minorHAnsi" w:hAnsiTheme="minorHAnsi" w:cstheme="minorHAnsi"/>
          <w:sz w:val="17"/>
          <w:szCs w:val="17"/>
        </w:rPr>
        <w:t xml:space="preserve"> del 2024 (dos mil veinticuatro):</w:t>
      </w:r>
    </w:p>
    <w:p w14:paraId="49DC2216" w14:textId="77777777" w:rsidR="000D7620" w:rsidRPr="001045B7" w:rsidRDefault="000D7620" w:rsidP="000D7620">
      <w:pPr>
        <w:autoSpaceDE w:val="0"/>
        <w:autoSpaceDN w:val="0"/>
        <w:adjustRightInd w:val="0"/>
        <w:spacing w:before="240" w:after="120"/>
        <w:jc w:val="center"/>
        <w:rPr>
          <w:rFonts w:asciiTheme="minorHAnsi" w:eastAsia="Calibri" w:hAnsiTheme="minorHAnsi" w:cstheme="minorHAnsi"/>
          <w:b/>
          <w:spacing w:val="-1"/>
          <w:sz w:val="17"/>
          <w:szCs w:val="17"/>
        </w:rPr>
      </w:pPr>
      <w:r w:rsidRPr="001045B7">
        <w:rPr>
          <w:rFonts w:asciiTheme="minorHAnsi" w:eastAsia="Calibri" w:hAnsiTheme="minorHAnsi" w:cstheme="minorHAnsi"/>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0D7620" w:rsidRPr="001045B7" w14:paraId="1563D731" w14:textId="77777777" w:rsidTr="00AF6204">
        <w:trPr>
          <w:trHeight w:val="240"/>
          <w:jc w:val="center"/>
        </w:trPr>
        <w:tc>
          <w:tcPr>
            <w:tcW w:w="4900" w:type="dxa"/>
            <w:tcBorders>
              <w:top w:val="nil"/>
              <w:left w:val="nil"/>
              <w:bottom w:val="nil"/>
              <w:right w:val="nil"/>
            </w:tcBorders>
            <w:shd w:val="clear" w:color="000000" w:fill="FFFFFF"/>
            <w:vAlign w:val="center"/>
            <w:hideMark/>
          </w:tcPr>
          <w:p w14:paraId="1D14799D" w14:textId="77777777" w:rsidR="000D7620" w:rsidRPr="001045B7" w:rsidRDefault="000D7620"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A. Ingresos:</w:t>
            </w:r>
          </w:p>
        </w:tc>
        <w:tc>
          <w:tcPr>
            <w:tcW w:w="2180" w:type="dxa"/>
            <w:tcBorders>
              <w:top w:val="nil"/>
              <w:left w:val="nil"/>
              <w:bottom w:val="nil"/>
              <w:right w:val="nil"/>
            </w:tcBorders>
            <w:shd w:val="clear" w:color="000000" w:fill="FFFFFF"/>
            <w:vAlign w:val="center"/>
            <w:hideMark/>
          </w:tcPr>
          <w:p w14:paraId="358A4AC9" w14:textId="77777777" w:rsidR="000D7620" w:rsidRPr="001045B7" w:rsidRDefault="000D7620"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r>
      <w:tr w:rsidR="000D7620" w:rsidRPr="001045B7" w14:paraId="55D507F6"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321EF"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798AF7"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5B5C27" w:rsidRPr="001045B7" w14:paraId="59B96029" w14:textId="77777777" w:rsidTr="002E08A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89F4739"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Ley de Ingresos Estimada</w:t>
            </w:r>
          </w:p>
        </w:tc>
        <w:tc>
          <w:tcPr>
            <w:tcW w:w="2180" w:type="dxa"/>
            <w:tcBorders>
              <w:top w:val="nil"/>
              <w:left w:val="nil"/>
              <w:bottom w:val="single" w:sz="4" w:space="0" w:color="auto"/>
              <w:right w:val="single" w:sz="4" w:space="0" w:color="auto"/>
            </w:tcBorders>
            <w:shd w:val="clear" w:color="000000" w:fill="FFFFFF"/>
          </w:tcPr>
          <w:p w14:paraId="417C5443" w14:textId="1F294A90"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57,472,848,957 </w:t>
            </w:r>
          </w:p>
        </w:tc>
      </w:tr>
      <w:tr w:rsidR="005B5C27" w:rsidRPr="001045B7" w14:paraId="1534AECE" w14:textId="77777777" w:rsidTr="002E08A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7AAEC39"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Ley de Ingresos por Ejecutar</w:t>
            </w:r>
          </w:p>
        </w:tc>
        <w:tc>
          <w:tcPr>
            <w:tcW w:w="2180" w:type="dxa"/>
            <w:tcBorders>
              <w:top w:val="nil"/>
              <w:left w:val="nil"/>
              <w:bottom w:val="single" w:sz="4" w:space="0" w:color="auto"/>
              <w:right w:val="single" w:sz="4" w:space="0" w:color="auto"/>
            </w:tcBorders>
            <w:shd w:val="clear" w:color="000000" w:fill="FFFFFF"/>
          </w:tcPr>
          <w:p w14:paraId="33350CB1" w14:textId="35AC0243"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5B5C27" w:rsidRPr="001045B7" w14:paraId="69CD4435" w14:textId="77777777" w:rsidTr="002E08A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122D9C6"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Modificaciones a la Ley de Ingresos Estimada</w:t>
            </w:r>
          </w:p>
        </w:tc>
        <w:tc>
          <w:tcPr>
            <w:tcW w:w="2180" w:type="dxa"/>
            <w:tcBorders>
              <w:top w:val="nil"/>
              <w:left w:val="nil"/>
              <w:bottom w:val="single" w:sz="4" w:space="0" w:color="auto"/>
              <w:right w:val="single" w:sz="4" w:space="0" w:color="auto"/>
            </w:tcBorders>
            <w:shd w:val="clear" w:color="000000" w:fill="FFFFFF"/>
          </w:tcPr>
          <w:p w14:paraId="5109389A" w14:textId="7898D2CF"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4,585,683,934 </w:t>
            </w:r>
          </w:p>
        </w:tc>
      </w:tr>
      <w:tr w:rsidR="005B5C27" w:rsidRPr="001045B7" w14:paraId="711D0C44" w14:textId="77777777" w:rsidTr="002E08A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2BEA469"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Ley de Ingresos Devengada</w:t>
            </w:r>
          </w:p>
        </w:tc>
        <w:tc>
          <w:tcPr>
            <w:tcW w:w="2180" w:type="dxa"/>
            <w:tcBorders>
              <w:top w:val="nil"/>
              <w:left w:val="nil"/>
              <w:bottom w:val="single" w:sz="4" w:space="0" w:color="auto"/>
              <w:right w:val="single" w:sz="4" w:space="0" w:color="auto"/>
            </w:tcBorders>
            <w:shd w:val="clear" w:color="000000" w:fill="FFFFFF"/>
          </w:tcPr>
          <w:p w14:paraId="66B60CFC" w14:textId="34187194"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5B5C27" w:rsidRPr="001045B7" w14:paraId="5CBF41F0" w14:textId="77777777" w:rsidTr="002E08A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C930E"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Ley de Ingresos Recaudada</w:t>
            </w:r>
          </w:p>
        </w:tc>
        <w:tc>
          <w:tcPr>
            <w:tcW w:w="2180" w:type="dxa"/>
            <w:tcBorders>
              <w:top w:val="nil"/>
              <w:left w:val="nil"/>
              <w:bottom w:val="single" w:sz="4" w:space="0" w:color="auto"/>
              <w:right w:val="single" w:sz="4" w:space="0" w:color="auto"/>
            </w:tcBorders>
            <w:shd w:val="clear" w:color="000000" w:fill="FFFFFF"/>
          </w:tcPr>
          <w:p w14:paraId="1A52276D" w14:textId="6BA4EE8E"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-62,058,532,891 </w:t>
            </w:r>
          </w:p>
        </w:tc>
      </w:tr>
      <w:tr w:rsidR="005B5C27" w:rsidRPr="001045B7" w14:paraId="76D809EA"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516DA7" w14:textId="7EBC4F33" w:rsidR="005B5C27" w:rsidRPr="001045B7" w:rsidRDefault="005B5C27" w:rsidP="005B5C27">
            <w:pPr>
              <w:jc w:val="center"/>
              <w:rPr>
                <w:rFonts w:asciiTheme="minorHAnsi" w:hAnsiTheme="minorHAnsi" w:cstheme="minorHAnsi"/>
                <w:b/>
                <w:bCs/>
                <w:color w:val="000000"/>
                <w:sz w:val="17"/>
                <w:szCs w:val="17"/>
              </w:rPr>
            </w:pP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874DD" w14:textId="66412CDB" w:rsidR="005B5C27" w:rsidRPr="001045B7" w:rsidRDefault="005B5C27" w:rsidP="005B5C27">
            <w:pPr>
              <w:jc w:val="right"/>
              <w:rPr>
                <w:rFonts w:asciiTheme="minorHAnsi" w:hAnsiTheme="minorHAnsi" w:cstheme="minorHAnsi"/>
                <w:b/>
                <w:sz w:val="17"/>
                <w:szCs w:val="17"/>
              </w:rPr>
            </w:pPr>
            <w:r w:rsidRPr="001045B7">
              <w:rPr>
                <w:rFonts w:asciiTheme="minorHAnsi" w:hAnsiTheme="minorHAnsi" w:cstheme="minorHAnsi"/>
                <w:sz w:val="17"/>
                <w:szCs w:val="17"/>
              </w:rPr>
              <w:t xml:space="preserve"> -   </w:t>
            </w:r>
          </w:p>
        </w:tc>
      </w:tr>
      <w:tr w:rsidR="000D7620" w:rsidRPr="001045B7" w14:paraId="2C563935" w14:textId="77777777" w:rsidTr="00AF6204">
        <w:trPr>
          <w:trHeight w:val="240"/>
          <w:jc w:val="center"/>
        </w:trPr>
        <w:tc>
          <w:tcPr>
            <w:tcW w:w="4900" w:type="dxa"/>
            <w:tcBorders>
              <w:top w:val="nil"/>
              <w:left w:val="nil"/>
              <w:bottom w:val="nil"/>
              <w:right w:val="nil"/>
            </w:tcBorders>
            <w:shd w:val="clear" w:color="000000" w:fill="FFFFFF"/>
            <w:vAlign w:val="center"/>
            <w:hideMark/>
          </w:tcPr>
          <w:p w14:paraId="214FBEA5" w14:textId="77777777" w:rsidR="000D7620" w:rsidRPr="001045B7" w:rsidRDefault="000D7620" w:rsidP="00AF6204">
            <w:pPr>
              <w:rPr>
                <w:rFonts w:asciiTheme="minorHAnsi" w:hAnsiTheme="minorHAnsi" w:cstheme="minorHAnsi"/>
                <w:b/>
                <w:bCs/>
                <w:color w:val="000000"/>
                <w:sz w:val="17"/>
                <w:szCs w:val="17"/>
              </w:rPr>
            </w:pPr>
          </w:p>
          <w:p w14:paraId="0B5186D4" w14:textId="77777777" w:rsidR="000D7620" w:rsidRPr="001045B7" w:rsidRDefault="000D7620"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B. Egresos:</w:t>
            </w:r>
          </w:p>
          <w:p w14:paraId="51AE200C" w14:textId="77777777" w:rsidR="000D7620" w:rsidRPr="001045B7" w:rsidRDefault="000D7620" w:rsidP="00AF6204">
            <w:pPr>
              <w:rPr>
                <w:rFonts w:asciiTheme="minorHAnsi" w:hAnsiTheme="minorHAnsi" w:cstheme="minorHAnsi"/>
                <w:b/>
                <w:bCs/>
                <w:color w:val="000000"/>
                <w:sz w:val="17"/>
                <w:szCs w:val="17"/>
              </w:rPr>
            </w:pPr>
          </w:p>
        </w:tc>
        <w:tc>
          <w:tcPr>
            <w:tcW w:w="2180" w:type="dxa"/>
            <w:tcBorders>
              <w:top w:val="nil"/>
              <w:left w:val="nil"/>
              <w:bottom w:val="nil"/>
              <w:right w:val="nil"/>
            </w:tcBorders>
            <w:shd w:val="clear" w:color="000000" w:fill="FFFFFF"/>
            <w:vAlign w:val="center"/>
            <w:hideMark/>
          </w:tcPr>
          <w:p w14:paraId="20104C92" w14:textId="77777777" w:rsidR="000D7620" w:rsidRPr="001045B7" w:rsidRDefault="000D7620" w:rsidP="00AF6204">
            <w:pP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r>
      <w:tr w:rsidR="000D7620" w:rsidRPr="001045B7" w14:paraId="3523A5B4"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D7AA1"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B613D6" w14:textId="77777777" w:rsidR="000D7620" w:rsidRPr="001045B7" w:rsidRDefault="000D7620" w:rsidP="00AF6204">
            <w:pPr>
              <w:jc w:val="center"/>
              <w:rPr>
                <w:rFonts w:asciiTheme="minorHAnsi" w:hAnsiTheme="minorHAnsi" w:cstheme="minorHAnsi"/>
                <w:b/>
                <w:bCs/>
                <w:color w:val="000000"/>
                <w:sz w:val="17"/>
                <w:szCs w:val="17"/>
              </w:rPr>
            </w:pPr>
            <w:r w:rsidRPr="001045B7">
              <w:rPr>
                <w:rFonts w:asciiTheme="minorHAnsi" w:hAnsiTheme="minorHAnsi" w:cstheme="minorHAnsi"/>
                <w:b/>
                <w:bCs/>
                <w:color w:val="000000"/>
                <w:sz w:val="17"/>
                <w:szCs w:val="17"/>
              </w:rPr>
              <w:t>Monto</w:t>
            </w:r>
          </w:p>
        </w:tc>
      </w:tr>
      <w:tr w:rsidR="005B5C27" w:rsidRPr="001045B7" w14:paraId="624CA23C"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398B443"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Aprobado</w:t>
            </w:r>
          </w:p>
        </w:tc>
        <w:tc>
          <w:tcPr>
            <w:tcW w:w="2180" w:type="dxa"/>
            <w:tcBorders>
              <w:top w:val="nil"/>
              <w:left w:val="nil"/>
              <w:bottom w:val="single" w:sz="4" w:space="0" w:color="auto"/>
              <w:right w:val="single" w:sz="4" w:space="0" w:color="auto"/>
            </w:tcBorders>
            <w:shd w:val="clear" w:color="000000" w:fill="FFFFFF"/>
          </w:tcPr>
          <w:p w14:paraId="04483CAE" w14:textId="2F33A99B"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-61,821,252,203 </w:t>
            </w:r>
          </w:p>
        </w:tc>
      </w:tr>
      <w:tr w:rsidR="005B5C27" w:rsidRPr="001045B7" w14:paraId="27AF2B2E"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0F8B0C7"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por Ejercer</w:t>
            </w:r>
          </w:p>
        </w:tc>
        <w:tc>
          <w:tcPr>
            <w:tcW w:w="2180" w:type="dxa"/>
            <w:tcBorders>
              <w:top w:val="nil"/>
              <w:left w:val="nil"/>
              <w:bottom w:val="single" w:sz="4" w:space="0" w:color="auto"/>
              <w:right w:val="single" w:sz="4" w:space="0" w:color="auto"/>
            </w:tcBorders>
            <w:shd w:val="clear" w:color="000000" w:fill="FFFFFF"/>
          </w:tcPr>
          <w:p w14:paraId="4FA27D56" w14:textId="1A21B382"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4,220,029,351 </w:t>
            </w:r>
          </w:p>
        </w:tc>
      </w:tr>
      <w:tr w:rsidR="005B5C27" w:rsidRPr="001045B7" w14:paraId="31EDAFCD"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6183C83"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Modificaciones al Presupuesto de Egresos Aprobado</w:t>
            </w:r>
          </w:p>
        </w:tc>
        <w:tc>
          <w:tcPr>
            <w:tcW w:w="2180" w:type="dxa"/>
            <w:tcBorders>
              <w:top w:val="nil"/>
              <w:left w:val="nil"/>
              <w:bottom w:val="single" w:sz="4" w:space="0" w:color="auto"/>
              <w:right w:val="single" w:sz="4" w:space="0" w:color="auto"/>
            </w:tcBorders>
            <w:shd w:val="clear" w:color="000000" w:fill="FFFFFF"/>
          </w:tcPr>
          <w:p w14:paraId="6AD614ED" w14:textId="31D2AED6"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-5,677,577,794 </w:t>
            </w:r>
          </w:p>
        </w:tc>
      </w:tr>
      <w:tr w:rsidR="005B5C27" w:rsidRPr="001045B7" w14:paraId="114ADACD"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67E0DF0"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Comprometido</w:t>
            </w:r>
          </w:p>
        </w:tc>
        <w:tc>
          <w:tcPr>
            <w:tcW w:w="2180" w:type="dxa"/>
            <w:tcBorders>
              <w:top w:val="nil"/>
              <w:left w:val="nil"/>
              <w:bottom w:val="single" w:sz="4" w:space="0" w:color="auto"/>
              <w:right w:val="single" w:sz="4" w:space="0" w:color="auto"/>
            </w:tcBorders>
            <w:shd w:val="clear" w:color="000000" w:fill="FFFFFF"/>
          </w:tcPr>
          <w:p w14:paraId="2CE96816" w14:textId="1E8DB5F1"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867,312,080 </w:t>
            </w:r>
          </w:p>
        </w:tc>
      </w:tr>
      <w:tr w:rsidR="005B5C27" w:rsidRPr="001045B7" w14:paraId="7349B554"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FB8B6E5"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Devengado</w:t>
            </w:r>
          </w:p>
        </w:tc>
        <w:tc>
          <w:tcPr>
            <w:tcW w:w="2180" w:type="dxa"/>
            <w:tcBorders>
              <w:top w:val="nil"/>
              <w:left w:val="nil"/>
              <w:bottom w:val="single" w:sz="4" w:space="0" w:color="auto"/>
              <w:right w:val="single" w:sz="4" w:space="0" w:color="auto"/>
            </w:tcBorders>
            <w:shd w:val="clear" w:color="000000" w:fill="FFFFFF"/>
          </w:tcPr>
          <w:p w14:paraId="6C4D79E2" w14:textId="66D2AD3D"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   </w:t>
            </w:r>
          </w:p>
        </w:tc>
      </w:tr>
      <w:tr w:rsidR="005B5C27" w:rsidRPr="001045B7" w14:paraId="5C0944DA"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DBE5CD0"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Ejercido</w:t>
            </w:r>
          </w:p>
        </w:tc>
        <w:tc>
          <w:tcPr>
            <w:tcW w:w="2180" w:type="dxa"/>
            <w:tcBorders>
              <w:top w:val="nil"/>
              <w:left w:val="nil"/>
              <w:bottom w:val="single" w:sz="4" w:space="0" w:color="auto"/>
              <w:right w:val="single" w:sz="4" w:space="0" w:color="auto"/>
            </w:tcBorders>
            <w:shd w:val="clear" w:color="000000" w:fill="FFFFFF"/>
          </w:tcPr>
          <w:p w14:paraId="3AFB76CC" w14:textId="13A66A34"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82,531,727 </w:t>
            </w:r>
          </w:p>
        </w:tc>
      </w:tr>
      <w:tr w:rsidR="005B5C27" w:rsidRPr="001045B7" w14:paraId="5B25378F"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349BE" w14:textId="77777777" w:rsidR="005B5C27" w:rsidRPr="001045B7" w:rsidRDefault="005B5C27" w:rsidP="005B5C27">
            <w:pPr>
              <w:rPr>
                <w:rFonts w:asciiTheme="minorHAnsi" w:hAnsiTheme="minorHAnsi" w:cstheme="minorHAnsi"/>
                <w:color w:val="000000"/>
                <w:sz w:val="17"/>
                <w:szCs w:val="17"/>
              </w:rPr>
            </w:pPr>
            <w:r w:rsidRPr="001045B7">
              <w:rPr>
                <w:rFonts w:asciiTheme="minorHAnsi" w:hAnsiTheme="minorHAnsi" w:cstheme="minorHAnsi"/>
                <w:color w:val="000000"/>
                <w:sz w:val="17"/>
                <w:szCs w:val="17"/>
              </w:rPr>
              <w:t>Presupuesto de Egresos Pagado</w:t>
            </w:r>
          </w:p>
        </w:tc>
        <w:tc>
          <w:tcPr>
            <w:tcW w:w="2180" w:type="dxa"/>
            <w:tcBorders>
              <w:top w:val="nil"/>
              <w:left w:val="nil"/>
              <w:bottom w:val="single" w:sz="4" w:space="0" w:color="auto"/>
              <w:right w:val="single" w:sz="4" w:space="0" w:color="auto"/>
            </w:tcBorders>
            <w:shd w:val="clear" w:color="000000" w:fill="FFFFFF"/>
          </w:tcPr>
          <w:p w14:paraId="1550E31B" w14:textId="5ADE76D2" w:rsidR="005B5C27" w:rsidRPr="001045B7" w:rsidRDefault="005B5C27" w:rsidP="005B5C27">
            <w:pPr>
              <w:jc w:val="right"/>
              <w:rPr>
                <w:rFonts w:asciiTheme="minorHAnsi" w:hAnsiTheme="minorHAnsi" w:cstheme="minorHAnsi"/>
                <w:sz w:val="17"/>
                <w:szCs w:val="17"/>
              </w:rPr>
            </w:pPr>
            <w:r w:rsidRPr="001045B7">
              <w:rPr>
                <w:rFonts w:asciiTheme="minorHAnsi" w:hAnsiTheme="minorHAnsi" w:cstheme="minorHAnsi"/>
                <w:sz w:val="17"/>
                <w:szCs w:val="17"/>
              </w:rPr>
              <w:t xml:space="preserve"> 62,328,956,839 </w:t>
            </w:r>
          </w:p>
        </w:tc>
      </w:tr>
      <w:tr w:rsidR="005B5C27" w:rsidRPr="001045B7" w14:paraId="128CA67A"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D13DFE" w14:textId="29413112" w:rsidR="005B5C27" w:rsidRPr="001045B7" w:rsidRDefault="005B5C27" w:rsidP="005B5C27">
            <w:pPr>
              <w:jc w:val="center"/>
              <w:rPr>
                <w:rFonts w:asciiTheme="minorHAnsi" w:hAnsiTheme="minorHAnsi" w:cstheme="minorHAnsi"/>
                <w:b/>
                <w:bCs/>
                <w:color w:val="000000"/>
                <w:sz w:val="17"/>
                <w:szCs w:val="17"/>
              </w:rPr>
            </w:pP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41955" w14:textId="30BB15A8" w:rsidR="005B5C27" w:rsidRPr="001045B7" w:rsidRDefault="005B5C27" w:rsidP="005B5C27">
            <w:pPr>
              <w:jc w:val="right"/>
              <w:rPr>
                <w:rFonts w:asciiTheme="minorHAnsi" w:hAnsiTheme="minorHAnsi" w:cstheme="minorHAnsi"/>
                <w:b/>
                <w:sz w:val="17"/>
                <w:szCs w:val="17"/>
              </w:rPr>
            </w:pPr>
            <w:r w:rsidRPr="001045B7">
              <w:rPr>
                <w:rFonts w:asciiTheme="minorHAnsi" w:hAnsiTheme="minorHAnsi" w:cstheme="minorHAnsi"/>
                <w:sz w:val="17"/>
                <w:szCs w:val="17"/>
              </w:rPr>
              <w:t xml:space="preserve"> -   </w:t>
            </w:r>
          </w:p>
        </w:tc>
      </w:tr>
    </w:tbl>
    <w:p w14:paraId="4A7CDDEF" w14:textId="7ACFF6AF" w:rsidR="000D7620" w:rsidRPr="001045B7" w:rsidRDefault="000D7620" w:rsidP="00860054">
      <w:pPr>
        <w:spacing w:line="276" w:lineRule="auto"/>
        <w:jc w:val="both"/>
        <w:rPr>
          <w:rFonts w:asciiTheme="minorHAnsi" w:hAnsiTheme="minorHAnsi" w:cstheme="minorHAnsi"/>
          <w:sz w:val="17"/>
          <w:szCs w:val="17"/>
        </w:rPr>
      </w:pPr>
    </w:p>
    <w:p w14:paraId="1737983B" w14:textId="124F75B2" w:rsidR="000D7620" w:rsidRPr="001045B7" w:rsidRDefault="00AB6BB2" w:rsidP="00860054">
      <w:pPr>
        <w:spacing w:line="276" w:lineRule="auto"/>
        <w:jc w:val="both"/>
        <w:rPr>
          <w:rFonts w:asciiTheme="minorHAnsi" w:hAnsiTheme="minorHAnsi" w:cstheme="minorHAnsi"/>
          <w:sz w:val="17"/>
          <w:szCs w:val="17"/>
        </w:rPr>
      </w:pPr>
      <w:r w:rsidRPr="001045B7">
        <w:rPr>
          <w:rFonts w:asciiTheme="minorHAnsi" w:hAnsiTheme="minorHAnsi" w:cstheme="minorHAnsi"/>
          <w:noProof/>
          <w:sz w:val="17"/>
          <w:szCs w:val="17"/>
        </w:rPr>
        <mc:AlternateContent>
          <mc:Choice Requires="wps">
            <w:drawing>
              <wp:anchor distT="0" distB="0" distL="114300" distR="114300" simplePos="0" relativeHeight="251659264" behindDoc="0" locked="0" layoutInCell="1" allowOverlap="1" wp14:anchorId="06C3AAD2" wp14:editId="51C025E5">
                <wp:simplePos x="0" y="0"/>
                <wp:positionH relativeFrom="column">
                  <wp:posOffset>5895340</wp:posOffset>
                </wp:positionH>
                <wp:positionV relativeFrom="paragraph">
                  <wp:posOffset>953770</wp:posOffset>
                </wp:positionV>
                <wp:extent cx="180975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668E7"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pt,75.1pt" to="606.7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" strokecolor="black [3200]" strokeweight=".5pt">
                <v:stroke joinstyle="miter"/>
              </v:line>
            </w:pict>
          </mc:Fallback>
        </mc:AlternateContent>
      </w:r>
    </w:p>
    <w:tbl>
      <w:tblPr>
        <w:tblW w:w="5299" w:type="pct"/>
        <w:jc w:val="center"/>
        <w:tblLayout w:type="fixed"/>
        <w:tblCellMar>
          <w:left w:w="70" w:type="dxa"/>
          <w:right w:w="70" w:type="dxa"/>
        </w:tblCellMar>
        <w:tblLook w:val="04A0" w:firstRow="1" w:lastRow="0" w:firstColumn="1" w:lastColumn="0" w:noHBand="0" w:noVBand="1"/>
      </w:tblPr>
      <w:tblGrid>
        <w:gridCol w:w="171"/>
        <w:gridCol w:w="13462"/>
        <w:gridCol w:w="170"/>
        <w:gridCol w:w="168"/>
      </w:tblGrid>
      <w:tr w:rsidR="000D7620" w:rsidRPr="005B5C27" w14:paraId="7E708F96" w14:textId="77777777" w:rsidTr="00AF6204">
        <w:trPr>
          <w:trHeight w:val="499"/>
          <w:jc w:val="center"/>
        </w:trPr>
        <w:tc>
          <w:tcPr>
            <w:tcW w:w="61" w:type="pct"/>
            <w:tcBorders>
              <w:top w:val="nil"/>
              <w:left w:val="nil"/>
              <w:bottom w:val="nil"/>
              <w:right w:val="nil"/>
            </w:tcBorders>
            <w:shd w:val="clear" w:color="000000" w:fill="FFFFFF"/>
            <w:noWrap/>
            <w:vAlign w:val="bottom"/>
          </w:tcPr>
          <w:p w14:paraId="1E87DA78" w14:textId="77777777" w:rsidR="000D7620" w:rsidRPr="001045B7" w:rsidRDefault="000D7620" w:rsidP="00AF6204">
            <w:pPr>
              <w:spacing w:before="80" w:line="240" w:lineRule="exact"/>
              <w:ind w:left="567"/>
              <w:jc w:val="both"/>
              <w:rPr>
                <w:rFonts w:asciiTheme="minorHAnsi" w:hAnsiTheme="minorHAnsi" w:cstheme="minorHAnsi"/>
                <w:color w:val="000000"/>
                <w:sz w:val="17"/>
                <w:szCs w:val="17"/>
              </w:rPr>
            </w:pPr>
          </w:p>
        </w:tc>
        <w:tc>
          <w:tcPr>
            <w:tcW w:w="4818" w:type="pct"/>
            <w:tcBorders>
              <w:top w:val="nil"/>
              <w:left w:val="nil"/>
              <w:right w:val="nil"/>
            </w:tcBorders>
            <w:shd w:val="clear" w:color="000000" w:fill="FFFFFF"/>
            <w:noWrap/>
            <w:vAlign w:val="center"/>
            <w:hideMark/>
          </w:tcPr>
          <w:p w14:paraId="3B132E66" w14:textId="77777777" w:rsidR="000836BB" w:rsidRPr="001045B7" w:rsidRDefault="000836BB" w:rsidP="00AF6204">
            <w:pPr>
              <w:spacing w:before="80" w:line="240" w:lineRule="exact"/>
              <w:jc w:val="both"/>
              <w:rPr>
                <w:rFonts w:asciiTheme="minorHAnsi" w:hAnsiTheme="minorHAnsi" w:cstheme="minorHAnsi"/>
                <w:sz w:val="17"/>
                <w:szCs w:val="17"/>
              </w:rPr>
            </w:pPr>
          </w:p>
          <w:p w14:paraId="08876D9A" w14:textId="14BBE6C5" w:rsidR="000D7620" w:rsidRPr="001045B7" w:rsidRDefault="000D7620" w:rsidP="00AF6204">
            <w:pPr>
              <w:spacing w:before="80" w:line="240" w:lineRule="exact"/>
              <w:jc w:val="both"/>
              <w:rPr>
                <w:rFonts w:asciiTheme="minorHAnsi" w:hAnsiTheme="minorHAnsi" w:cstheme="minorHAnsi"/>
                <w:sz w:val="17"/>
                <w:szCs w:val="17"/>
              </w:rPr>
            </w:pPr>
          </w:p>
          <w:p w14:paraId="6F1A6E47" w14:textId="77777777" w:rsidR="00AF32DC" w:rsidRPr="001045B7" w:rsidRDefault="00AF32DC" w:rsidP="00AF6204">
            <w:pPr>
              <w:spacing w:before="80" w:line="240" w:lineRule="exact"/>
              <w:jc w:val="both"/>
              <w:rPr>
                <w:rFonts w:asciiTheme="minorHAnsi" w:hAnsiTheme="minorHAnsi" w:cstheme="minorHAnsi"/>
                <w:sz w:val="17"/>
                <w:szCs w:val="17"/>
              </w:rPr>
            </w:pPr>
          </w:p>
          <w:p w14:paraId="4E8472DA" w14:textId="7DF57E45" w:rsidR="000D7620" w:rsidRPr="005B5C27" w:rsidRDefault="00AB6BB2" w:rsidP="00AF6204">
            <w:pPr>
              <w:spacing w:before="80" w:line="240" w:lineRule="exact"/>
              <w:ind w:left="567"/>
              <w:jc w:val="both"/>
              <w:rPr>
                <w:rFonts w:asciiTheme="minorHAnsi" w:hAnsiTheme="minorHAnsi" w:cstheme="minorHAnsi"/>
                <w:sz w:val="17"/>
                <w:szCs w:val="17"/>
              </w:rPr>
            </w:pPr>
            <w:r w:rsidRPr="001045B7">
              <w:rPr>
                <w:rFonts w:asciiTheme="minorHAnsi" w:hAnsiTheme="minorHAnsi" w:cstheme="minorHAnsi"/>
                <w:noProof/>
                <w:sz w:val="17"/>
                <w:szCs w:val="17"/>
              </w:rPr>
              <mc:AlternateContent>
                <mc:Choice Requires="wps">
                  <w:drawing>
                    <wp:anchor distT="0" distB="0" distL="114300" distR="114300" simplePos="0" relativeHeight="251661312" behindDoc="0" locked="0" layoutInCell="1" allowOverlap="1" wp14:anchorId="601FF509" wp14:editId="364A2C54">
                      <wp:simplePos x="0" y="0"/>
                      <wp:positionH relativeFrom="column">
                        <wp:posOffset>5871845</wp:posOffset>
                      </wp:positionH>
                      <wp:positionV relativeFrom="paragraph">
                        <wp:posOffset>256540</wp:posOffset>
                      </wp:positionV>
                      <wp:extent cx="2133600" cy="960120"/>
                      <wp:effectExtent l="0" t="0" r="19050" b="11430"/>
                      <wp:wrapNone/>
                      <wp:docPr id="19" name="Cuadro de texto 19"/>
                      <wp:cNvGraphicFramePr/>
                      <a:graphic xmlns:a="http://schemas.openxmlformats.org/drawingml/2006/main">
                        <a:graphicData uri="http://schemas.microsoft.com/office/word/2010/wordprocessingShape">
                          <wps:wsp>
                            <wps:cNvSpPr txBox="1"/>
                            <wps:spPr>
                              <a:xfrm>
                                <a:off x="0" y="0"/>
                                <a:ext cx="2133600" cy="9601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9E600B" w14:textId="747F528C"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C.P.C. </w:t>
                                  </w:r>
                                  <w:r>
                                    <w:rPr>
                                      <w:rFonts w:asciiTheme="minorHAnsi" w:hAnsiTheme="minorHAnsi" w:cstheme="minorHAnsi"/>
                                      <w:sz w:val="17"/>
                                      <w:szCs w:val="17"/>
                                    </w:rPr>
                                    <w:t>Mireles Aguilar José Antonio</w:t>
                                  </w:r>
                                  <w:r w:rsidRPr="002C3E41">
                                    <w:rPr>
                                      <w:rFonts w:asciiTheme="minorHAnsi" w:hAnsiTheme="minorHAnsi" w:cstheme="minorHAnsi"/>
                                      <w:sz w:val="17"/>
                                      <w:szCs w:val="17"/>
                                    </w:rPr>
                                    <w:t xml:space="preserve"> </w:t>
                                  </w:r>
                                </w:p>
                                <w:p w14:paraId="28D77DBC" w14:textId="5312C515"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Director</w:t>
                                  </w:r>
                                  <w:r w:rsidRPr="002C3E41">
                                    <w:rPr>
                                      <w:rFonts w:asciiTheme="minorHAnsi" w:hAnsiTheme="minorHAnsi" w:cstheme="minorHAnsi"/>
                                      <w:sz w:val="17"/>
                                      <w:szCs w:val="17"/>
                                    </w:rPr>
                                    <w:t xml:space="preserve"> de Contabilidad</w:t>
                                  </w:r>
                                </w:p>
                                <w:p w14:paraId="6DFF52F6"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de la Subsecretaría de Egresos </w:t>
                                  </w:r>
                                </w:p>
                                <w:p w14:paraId="771E9403" w14:textId="61A1F339"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 la Secretaría de Fi</w:t>
                                  </w:r>
                                  <w:r>
                                    <w:rPr>
                                      <w:rFonts w:asciiTheme="minorHAnsi" w:hAnsiTheme="minorHAnsi" w:cstheme="minorHAnsi"/>
                                      <w:sz w:val="17"/>
                                      <w:szCs w:val="17"/>
                                    </w:rPr>
                                    <w:t>n</w:t>
                                  </w:r>
                                  <w:r w:rsidRPr="002C3E41">
                                    <w:rPr>
                                      <w:rFonts w:asciiTheme="minorHAnsi" w:hAnsiTheme="minorHAnsi" w:cstheme="minorHAnsi"/>
                                      <w:sz w:val="17"/>
                                      <w:szCs w:val="17"/>
                                    </w:rPr>
                                    <w:t>anzas</w:t>
                                  </w:r>
                                </w:p>
                                <w:p w14:paraId="6B211F9D"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 Querétaro</w:t>
                                  </w:r>
                                </w:p>
                                <w:p w14:paraId="70C6B2DB" w14:textId="77777777" w:rsidR="00A477CA" w:rsidRPr="002C3E41" w:rsidRDefault="00A477CA" w:rsidP="000D7620">
                                  <w:pPr>
                                    <w:spacing w:line="276" w:lineRule="auto"/>
                                    <w:jc w:val="center"/>
                                    <w:rPr>
                                      <w:rFonts w:asciiTheme="minorHAnsi" w:hAnsiTheme="minorHAnsi" w:cstheme="min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F509" id="_x0000_t202" coordsize="21600,21600" o:spt="202" path="m,l,21600r21600,l21600,xe">
                      <v:stroke joinstyle="miter"/>
                      <v:path gradientshapeok="t" o:connecttype="rect"/>
                    </v:shapetype>
                    <v:shape id="Cuadro de texto 19" o:spid="_x0000_s1026" type="#_x0000_t202" style="position:absolute;left:0;text-align:left;margin-left:462.35pt;margin-top:20.2pt;width:168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" fillcolor="white [3201]" strokecolor="white [3212]" strokeweight=".5pt">
                      <v:textbox>
                        <w:txbxContent>
                          <w:p w14:paraId="7A9E600B" w14:textId="747F528C"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C.P.C. </w:t>
                            </w:r>
                            <w:r>
                              <w:rPr>
                                <w:rFonts w:asciiTheme="minorHAnsi" w:hAnsiTheme="minorHAnsi" w:cstheme="minorHAnsi"/>
                                <w:sz w:val="17"/>
                                <w:szCs w:val="17"/>
                              </w:rPr>
                              <w:t>Mireles Aguilar José Antonio</w:t>
                            </w:r>
                            <w:r w:rsidRPr="002C3E41">
                              <w:rPr>
                                <w:rFonts w:asciiTheme="minorHAnsi" w:hAnsiTheme="minorHAnsi" w:cstheme="minorHAnsi"/>
                                <w:sz w:val="17"/>
                                <w:szCs w:val="17"/>
                              </w:rPr>
                              <w:t xml:space="preserve"> </w:t>
                            </w:r>
                          </w:p>
                          <w:p w14:paraId="28D77DBC" w14:textId="5312C515"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Director</w:t>
                            </w:r>
                            <w:r w:rsidRPr="002C3E41">
                              <w:rPr>
                                <w:rFonts w:asciiTheme="minorHAnsi" w:hAnsiTheme="minorHAnsi" w:cstheme="minorHAnsi"/>
                                <w:sz w:val="17"/>
                                <w:szCs w:val="17"/>
                              </w:rPr>
                              <w:t xml:space="preserve"> de Contabilidad</w:t>
                            </w:r>
                          </w:p>
                          <w:p w14:paraId="6DFF52F6"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de la Subsecretaría de Egresos </w:t>
                            </w:r>
                          </w:p>
                          <w:p w14:paraId="771E9403" w14:textId="61A1F339"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 la Secretaría de Fi</w:t>
                            </w:r>
                            <w:r>
                              <w:rPr>
                                <w:rFonts w:asciiTheme="minorHAnsi" w:hAnsiTheme="minorHAnsi" w:cstheme="minorHAnsi"/>
                                <w:sz w:val="17"/>
                                <w:szCs w:val="17"/>
                              </w:rPr>
                              <w:t>n</w:t>
                            </w:r>
                            <w:r w:rsidRPr="002C3E41">
                              <w:rPr>
                                <w:rFonts w:asciiTheme="minorHAnsi" w:hAnsiTheme="minorHAnsi" w:cstheme="minorHAnsi"/>
                                <w:sz w:val="17"/>
                                <w:szCs w:val="17"/>
                              </w:rPr>
                              <w:t>anzas</w:t>
                            </w:r>
                          </w:p>
                          <w:p w14:paraId="6B211F9D"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 Querétaro</w:t>
                            </w:r>
                          </w:p>
                          <w:p w14:paraId="70C6B2DB" w14:textId="77777777" w:rsidR="00A477CA" w:rsidRPr="002C3E41" w:rsidRDefault="00A477CA" w:rsidP="000D7620">
                            <w:pPr>
                              <w:spacing w:line="276" w:lineRule="auto"/>
                              <w:jc w:val="center"/>
                              <w:rPr>
                                <w:rFonts w:asciiTheme="minorHAnsi" w:hAnsiTheme="minorHAnsi" w:cstheme="minorHAnsi"/>
                                <w:sz w:val="17"/>
                                <w:szCs w:val="17"/>
                              </w:rPr>
                            </w:pPr>
                          </w:p>
                        </w:txbxContent>
                      </v:textbox>
                    </v:shape>
                  </w:pict>
                </mc:Fallback>
              </mc:AlternateContent>
            </w:r>
            <w:r w:rsidR="000D7620" w:rsidRPr="001045B7">
              <w:rPr>
                <w:rFonts w:asciiTheme="minorHAnsi" w:hAnsiTheme="minorHAnsi" w:cstheme="minorHAnsi"/>
                <w:noProof/>
                <w:sz w:val="17"/>
                <w:szCs w:val="17"/>
              </w:rPr>
              <mc:AlternateContent>
                <mc:Choice Requires="wps">
                  <w:drawing>
                    <wp:anchor distT="0" distB="0" distL="114300" distR="114300" simplePos="0" relativeHeight="251662336" behindDoc="0" locked="0" layoutInCell="1" allowOverlap="1" wp14:anchorId="2053258E" wp14:editId="5DF9DECB">
                      <wp:simplePos x="0" y="0"/>
                      <wp:positionH relativeFrom="column">
                        <wp:posOffset>418465</wp:posOffset>
                      </wp:positionH>
                      <wp:positionV relativeFrom="paragraph">
                        <wp:posOffset>198120</wp:posOffset>
                      </wp:positionV>
                      <wp:extent cx="184785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FB8B1" id="Conector recto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95pt,15.6pt" to="17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" strokecolor="black [3200]" strokeweight=".5pt">
                      <v:stroke joinstyle="miter"/>
                    </v:line>
                  </w:pict>
                </mc:Fallback>
              </mc:AlternateContent>
            </w:r>
          </w:p>
        </w:tc>
        <w:tc>
          <w:tcPr>
            <w:tcW w:w="61" w:type="pct"/>
            <w:tcBorders>
              <w:top w:val="nil"/>
              <w:left w:val="nil"/>
              <w:right w:val="nil"/>
            </w:tcBorders>
            <w:shd w:val="clear" w:color="000000" w:fill="FFFFFF"/>
          </w:tcPr>
          <w:p w14:paraId="4A370117" w14:textId="77777777" w:rsidR="000D7620" w:rsidRPr="005B5C27" w:rsidRDefault="000D7620" w:rsidP="00AF6204">
            <w:pPr>
              <w:spacing w:before="80" w:line="240" w:lineRule="exact"/>
              <w:jc w:val="both"/>
              <w:rPr>
                <w:rFonts w:asciiTheme="minorHAnsi" w:hAnsiTheme="minorHAnsi" w:cstheme="minorHAnsi"/>
                <w:sz w:val="17"/>
                <w:szCs w:val="17"/>
              </w:rPr>
            </w:pPr>
          </w:p>
        </w:tc>
        <w:tc>
          <w:tcPr>
            <w:tcW w:w="61" w:type="pct"/>
            <w:tcBorders>
              <w:top w:val="nil"/>
              <w:left w:val="nil"/>
              <w:right w:val="nil"/>
            </w:tcBorders>
            <w:shd w:val="clear" w:color="000000" w:fill="FFFFFF"/>
          </w:tcPr>
          <w:p w14:paraId="3B31BEC6" w14:textId="77777777" w:rsidR="000D7620" w:rsidRPr="005B5C27" w:rsidRDefault="000D7620" w:rsidP="00AF6204">
            <w:pPr>
              <w:spacing w:before="80" w:line="240" w:lineRule="exact"/>
              <w:ind w:left="567"/>
              <w:jc w:val="both"/>
              <w:rPr>
                <w:rFonts w:asciiTheme="minorHAnsi" w:hAnsiTheme="minorHAnsi" w:cstheme="minorHAnsi"/>
                <w:sz w:val="17"/>
                <w:szCs w:val="17"/>
              </w:rPr>
            </w:pPr>
          </w:p>
        </w:tc>
      </w:tr>
    </w:tbl>
    <w:p w14:paraId="461FF288" w14:textId="77777777" w:rsidR="00A779D2" w:rsidRDefault="00A779D2" w:rsidP="00A779D2">
      <w:pPr>
        <w:spacing w:before="80" w:line="240" w:lineRule="exact"/>
        <w:jc w:val="both"/>
        <w:rPr>
          <w:rFonts w:asciiTheme="minorHAnsi" w:hAnsiTheme="minorHAnsi" w:cstheme="minorHAnsi"/>
          <w:sz w:val="17"/>
          <w:szCs w:val="17"/>
        </w:rPr>
      </w:pPr>
    </w:p>
    <w:p w14:paraId="3F416FA5" w14:textId="02A9C610" w:rsidR="000D7620" w:rsidRPr="005B5C27" w:rsidRDefault="00AB6BB2" w:rsidP="00A779D2">
      <w:pPr>
        <w:spacing w:before="80" w:line="240" w:lineRule="exact"/>
        <w:jc w:val="both"/>
        <w:rPr>
          <w:rFonts w:asciiTheme="minorHAnsi" w:hAnsiTheme="minorHAnsi" w:cstheme="minorHAnsi"/>
          <w:sz w:val="17"/>
          <w:szCs w:val="17"/>
        </w:rPr>
      </w:pPr>
      <w:r w:rsidRPr="005B5C27">
        <w:rPr>
          <w:rFonts w:asciiTheme="minorHAnsi" w:hAnsiTheme="minorHAnsi" w:cstheme="minorHAnsi"/>
          <w:noProof/>
          <w:sz w:val="17"/>
          <w:szCs w:val="17"/>
        </w:rPr>
        <mc:AlternateContent>
          <mc:Choice Requires="wps">
            <w:drawing>
              <wp:anchor distT="0" distB="0" distL="114300" distR="114300" simplePos="0" relativeHeight="251660288" behindDoc="0" locked="0" layoutInCell="1" allowOverlap="1" wp14:anchorId="685C157A" wp14:editId="66CC624F">
                <wp:simplePos x="0" y="0"/>
                <wp:positionH relativeFrom="column">
                  <wp:posOffset>3070860</wp:posOffset>
                </wp:positionH>
                <wp:positionV relativeFrom="paragraph">
                  <wp:posOffset>10096</wp:posOffset>
                </wp:positionV>
                <wp:extent cx="2133600" cy="84772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2133600" cy="847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C88042" w14:textId="5337A04F"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Lcda. Taboada Coutiño Diana Dolores</w:t>
                            </w:r>
                          </w:p>
                          <w:p w14:paraId="53ED31D3" w14:textId="7131822A"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Subsecretaria</w:t>
                            </w:r>
                            <w:r w:rsidRPr="002C3E41">
                              <w:rPr>
                                <w:rFonts w:asciiTheme="minorHAnsi" w:hAnsiTheme="minorHAnsi" w:cstheme="minorHAnsi"/>
                                <w:sz w:val="17"/>
                                <w:szCs w:val="17"/>
                              </w:rPr>
                              <w:t xml:space="preserve"> de Egresos de la Secretaría de Fi</w:t>
                            </w:r>
                            <w:r>
                              <w:rPr>
                                <w:rFonts w:asciiTheme="minorHAnsi" w:hAnsiTheme="minorHAnsi" w:cstheme="minorHAnsi"/>
                                <w:sz w:val="17"/>
                                <w:szCs w:val="17"/>
                              </w:rPr>
                              <w:t>n</w:t>
                            </w:r>
                            <w:r w:rsidRPr="002C3E41">
                              <w:rPr>
                                <w:rFonts w:asciiTheme="minorHAnsi" w:hAnsiTheme="minorHAnsi" w:cstheme="minorHAnsi"/>
                                <w:sz w:val="17"/>
                                <w:szCs w:val="17"/>
                              </w:rPr>
                              <w:t>anzas</w:t>
                            </w:r>
                          </w:p>
                          <w:p w14:paraId="4D9D614A"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157A" id="Cuadro de texto 17" o:spid="_x0000_s1027" type="#_x0000_t202" style="position:absolute;left:0;text-align:left;margin-left:241.8pt;margin-top:.8pt;width:16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" fillcolor="white [3201]" strokecolor="white [3212]" strokeweight=".5pt">
                <v:textbox>
                  <w:txbxContent>
                    <w:p w14:paraId="11C88042" w14:textId="5337A04F"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Lcda. Taboada Coutiño Diana Dolores</w:t>
                      </w:r>
                    </w:p>
                    <w:p w14:paraId="53ED31D3" w14:textId="7131822A" w:rsidR="00A477CA" w:rsidRPr="002C3E41" w:rsidRDefault="00A477CA" w:rsidP="000D7620">
                      <w:pPr>
                        <w:spacing w:line="276" w:lineRule="auto"/>
                        <w:jc w:val="center"/>
                        <w:rPr>
                          <w:rFonts w:asciiTheme="minorHAnsi" w:hAnsiTheme="minorHAnsi" w:cstheme="minorHAnsi"/>
                          <w:sz w:val="17"/>
                          <w:szCs w:val="17"/>
                        </w:rPr>
                      </w:pPr>
                      <w:r>
                        <w:rPr>
                          <w:rFonts w:asciiTheme="minorHAnsi" w:hAnsiTheme="minorHAnsi" w:cstheme="minorHAnsi"/>
                          <w:sz w:val="17"/>
                          <w:szCs w:val="17"/>
                        </w:rPr>
                        <w:t>Subsecretaria</w:t>
                      </w:r>
                      <w:r w:rsidRPr="002C3E41">
                        <w:rPr>
                          <w:rFonts w:asciiTheme="minorHAnsi" w:hAnsiTheme="minorHAnsi" w:cstheme="minorHAnsi"/>
                          <w:sz w:val="17"/>
                          <w:szCs w:val="17"/>
                        </w:rPr>
                        <w:t xml:space="preserve"> de Egresos de la Secretaría de Fi</w:t>
                      </w:r>
                      <w:r>
                        <w:rPr>
                          <w:rFonts w:asciiTheme="minorHAnsi" w:hAnsiTheme="minorHAnsi" w:cstheme="minorHAnsi"/>
                          <w:sz w:val="17"/>
                          <w:szCs w:val="17"/>
                        </w:rPr>
                        <w:t>n</w:t>
                      </w:r>
                      <w:r w:rsidRPr="002C3E41">
                        <w:rPr>
                          <w:rFonts w:asciiTheme="minorHAnsi" w:hAnsiTheme="minorHAnsi" w:cstheme="minorHAnsi"/>
                          <w:sz w:val="17"/>
                          <w:szCs w:val="17"/>
                        </w:rPr>
                        <w:t>anzas</w:t>
                      </w:r>
                    </w:p>
                    <w:p w14:paraId="4D9D614A"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 Querétaro</w:t>
                      </w:r>
                    </w:p>
                  </w:txbxContent>
                </v:textbox>
              </v:shape>
            </w:pict>
          </mc:Fallback>
        </mc:AlternateContent>
      </w:r>
      <w:r w:rsidR="000D7620" w:rsidRPr="005B5C27">
        <w:rPr>
          <w:rFonts w:asciiTheme="minorHAnsi" w:hAnsiTheme="minorHAnsi" w:cstheme="minorHAnsi"/>
          <w:noProof/>
          <w:sz w:val="17"/>
          <w:szCs w:val="17"/>
        </w:rPr>
        <mc:AlternateContent>
          <mc:Choice Requires="wps">
            <w:drawing>
              <wp:anchor distT="0" distB="0" distL="114300" distR="114300" simplePos="0" relativeHeight="251663360" behindDoc="0" locked="0" layoutInCell="1" allowOverlap="1" wp14:anchorId="2F749CF1" wp14:editId="27B593F5">
                <wp:simplePos x="0" y="0"/>
                <wp:positionH relativeFrom="column">
                  <wp:posOffset>167576</wp:posOffset>
                </wp:positionH>
                <wp:positionV relativeFrom="paragraph">
                  <wp:posOffset>33020</wp:posOffset>
                </wp:positionV>
                <wp:extent cx="2133600" cy="7143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13360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AA3478" w14:textId="58245AEF"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MAD. Leal Maya Gustavo Arturo </w:t>
                            </w:r>
                          </w:p>
                          <w:p w14:paraId="01AB983E"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Secretario de Finanzas</w:t>
                            </w:r>
                          </w:p>
                          <w:p w14:paraId="2EFC424A"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del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9CF1" id="Cuadro de texto 2" o:spid="_x0000_s1028" type="#_x0000_t202" style="position:absolute;left:0;text-align:left;margin-left:13.2pt;margin-top:2.6pt;width:168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" fillcolor="white [3201]" strokecolor="white [3212]" strokeweight=".5pt">
                <v:textbox>
                  <w:txbxContent>
                    <w:p w14:paraId="29AA3478" w14:textId="58245AEF"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 xml:space="preserve">MAD. Leal Maya Gustavo Arturo </w:t>
                      </w:r>
                    </w:p>
                    <w:p w14:paraId="01AB983E"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Secretario de Finanzas</w:t>
                      </w:r>
                    </w:p>
                    <w:p w14:paraId="2EFC424A" w14:textId="77777777" w:rsidR="00A477CA" w:rsidRPr="002C3E41" w:rsidRDefault="00A477CA" w:rsidP="000D7620">
                      <w:pPr>
                        <w:spacing w:line="276" w:lineRule="auto"/>
                        <w:jc w:val="center"/>
                        <w:rPr>
                          <w:rFonts w:asciiTheme="minorHAnsi" w:hAnsiTheme="minorHAnsi" w:cstheme="minorHAnsi"/>
                          <w:sz w:val="17"/>
                          <w:szCs w:val="17"/>
                        </w:rPr>
                      </w:pPr>
                      <w:r w:rsidRPr="002C3E41">
                        <w:rPr>
                          <w:rFonts w:asciiTheme="minorHAnsi" w:hAnsiTheme="minorHAnsi" w:cstheme="minorHAnsi"/>
                          <w:sz w:val="17"/>
                          <w:szCs w:val="17"/>
                        </w:rPr>
                        <w:t>del Poder Ejecutivo del Estado del Querétaro</w:t>
                      </w:r>
                    </w:p>
                  </w:txbxContent>
                </v:textbox>
              </v:shape>
            </w:pict>
          </mc:Fallback>
        </mc:AlternateContent>
      </w:r>
      <w:r w:rsidR="000D7620" w:rsidRPr="005B5C27">
        <w:rPr>
          <w:rFonts w:asciiTheme="minorHAnsi" w:hAnsiTheme="minorHAnsi" w:cstheme="minorHAnsi"/>
          <w:noProof/>
          <w:sz w:val="17"/>
          <w:szCs w:val="17"/>
        </w:rPr>
        <mc:AlternateContent>
          <mc:Choice Requires="wps">
            <w:drawing>
              <wp:anchor distT="0" distB="0" distL="114300" distR="114300" simplePos="0" relativeHeight="251664384" behindDoc="0" locked="0" layoutInCell="1" allowOverlap="1" wp14:anchorId="7BF9DFA3" wp14:editId="3C0574EA">
                <wp:simplePos x="0" y="0"/>
                <wp:positionH relativeFrom="column">
                  <wp:posOffset>3124835</wp:posOffset>
                </wp:positionH>
                <wp:positionV relativeFrom="paragraph">
                  <wp:posOffset>9525</wp:posOffset>
                </wp:positionV>
                <wp:extent cx="20097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AD36B" id="Conector recto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75pt" to="4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" strokecolor="black [3200]" strokeweight=".5pt">
                <v:stroke joinstyle="miter"/>
              </v:line>
            </w:pict>
          </mc:Fallback>
        </mc:AlternateContent>
      </w:r>
    </w:p>
    <w:p w14:paraId="4C64D40C" w14:textId="00F97B22" w:rsidR="000D7620" w:rsidRPr="005B5C27" w:rsidRDefault="000D7620" w:rsidP="000D7620">
      <w:pPr>
        <w:spacing w:before="80" w:line="240" w:lineRule="exact"/>
        <w:ind w:left="567"/>
        <w:jc w:val="both"/>
        <w:rPr>
          <w:rFonts w:asciiTheme="minorHAnsi" w:hAnsiTheme="minorHAnsi" w:cstheme="minorHAnsi"/>
          <w:sz w:val="17"/>
          <w:szCs w:val="17"/>
        </w:rPr>
      </w:pPr>
    </w:p>
    <w:p w14:paraId="5327B8A9" w14:textId="77777777" w:rsidR="000D7620" w:rsidRPr="005B5C27" w:rsidRDefault="000D7620" w:rsidP="000D7620">
      <w:pPr>
        <w:spacing w:before="80" w:line="240" w:lineRule="exact"/>
        <w:ind w:left="567"/>
        <w:jc w:val="both"/>
        <w:rPr>
          <w:rFonts w:asciiTheme="minorHAnsi" w:hAnsiTheme="minorHAnsi" w:cstheme="minorHAnsi"/>
          <w:sz w:val="17"/>
          <w:szCs w:val="17"/>
        </w:rPr>
      </w:pPr>
    </w:p>
    <w:p w14:paraId="32974566" w14:textId="2B2F033B" w:rsidR="000D7620" w:rsidRPr="005B5C27" w:rsidRDefault="000D7620" w:rsidP="00860054">
      <w:pPr>
        <w:spacing w:line="276" w:lineRule="auto"/>
        <w:jc w:val="both"/>
        <w:rPr>
          <w:rFonts w:asciiTheme="minorHAnsi" w:hAnsiTheme="minorHAnsi" w:cstheme="minorHAnsi"/>
          <w:sz w:val="17"/>
          <w:szCs w:val="17"/>
        </w:rPr>
      </w:pPr>
    </w:p>
    <w:p w14:paraId="4E34CEEF" w14:textId="004D0A7A" w:rsidR="000D7620" w:rsidRPr="005B5C27" w:rsidRDefault="000D7620" w:rsidP="00860054">
      <w:pPr>
        <w:spacing w:line="276" w:lineRule="auto"/>
        <w:jc w:val="both"/>
        <w:rPr>
          <w:rFonts w:asciiTheme="minorHAnsi" w:hAnsiTheme="minorHAnsi" w:cstheme="minorHAnsi"/>
          <w:sz w:val="17"/>
          <w:szCs w:val="17"/>
        </w:rPr>
      </w:pPr>
    </w:p>
    <w:p w14:paraId="400EEC0E" w14:textId="77777777" w:rsidR="00F1349F" w:rsidRPr="005B5C27" w:rsidRDefault="00F1349F" w:rsidP="00860054">
      <w:pPr>
        <w:spacing w:line="276" w:lineRule="auto"/>
        <w:jc w:val="both"/>
        <w:rPr>
          <w:rFonts w:asciiTheme="minorHAnsi" w:hAnsiTheme="minorHAnsi" w:cstheme="minorHAnsi"/>
          <w:sz w:val="17"/>
          <w:szCs w:val="17"/>
        </w:rPr>
      </w:pPr>
    </w:p>
    <w:p w14:paraId="6CF14DEB" w14:textId="7C681588" w:rsidR="001325A4" w:rsidRPr="001C29C5" w:rsidRDefault="001325A4" w:rsidP="00860054">
      <w:pPr>
        <w:spacing w:line="276" w:lineRule="auto"/>
        <w:jc w:val="both"/>
        <w:rPr>
          <w:rFonts w:asciiTheme="minorHAnsi" w:hAnsiTheme="minorHAnsi" w:cstheme="minorHAnsi"/>
          <w:sz w:val="17"/>
          <w:szCs w:val="17"/>
        </w:rPr>
      </w:pPr>
      <w:r w:rsidRPr="005B5C27">
        <w:rPr>
          <w:rFonts w:asciiTheme="minorHAnsi" w:hAnsiTheme="minorHAnsi" w:cstheme="minorHAnsi"/>
          <w:sz w:val="17"/>
          <w:szCs w:val="17"/>
        </w:rPr>
        <w:t xml:space="preserve">Bajo protesta de decir verdad declaramos </w:t>
      </w:r>
      <w:r w:rsidRPr="001C29C5">
        <w:rPr>
          <w:rFonts w:asciiTheme="minorHAnsi" w:hAnsiTheme="minorHAnsi" w:cstheme="minorHAnsi"/>
          <w:sz w:val="17"/>
          <w:szCs w:val="17"/>
        </w:rPr>
        <w:t>que los Estados Financieros y sus notas, son razonablemente correctos y son responsabilidad del emisor.</w:t>
      </w:r>
    </w:p>
    <w:sectPr w:rsidR="001325A4" w:rsidRPr="001C29C5" w:rsidSect="009310F5">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418" w:right="1523" w:bottom="709" w:left="1134" w:header="851" w:footer="283"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60B5" w14:textId="77777777" w:rsidR="00FE5707" w:rsidRDefault="00FE5707" w:rsidP="00F71E5C">
      <w:r>
        <w:separator/>
      </w:r>
    </w:p>
  </w:endnote>
  <w:endnote w:type="continuationSeparator" w:id="0">
    <w:p w14:paraId="7F1B30AD" w14:textId="77777777" w:rsidR="00FE5707" w:rsidRDefault="00FE5707" w:rsidP="00F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E048" w14:textId="0ED8CF8E" w:rsidR="00A477CA" w:rsidRPr="00CF00D0" w:rsidRDefault="00A477CA" w:rsidP="001F2131">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9776" behindDoc="0" locked="0" layoutInCell="1" allowOverlap="1" wp14:anchorId="545E48B7" wp14:editId="4018725E">
              <wp:simplePos x="0" y="0"/>
              <wp:positionH relativeFrom="page">
                <wp:posOffset>786765</wp:posOffset>
              </wp:positionH>
              <wp:positionV relativeFrom="page">
                <wp:posOffset>7088505</wp:posOffset>
              </wp:positionV>
              <wp:extent cx="8442325" cy="45085"/>
              <wp:effectExtent l="0" t="0" r="0" b="0"/>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8DBE" id="Rectángulo 14" o:spid="_x0000_s1026" style="position:absolute;margin-left:61.95pt;margin-top:558.15pt;width:664.75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" fillcolor="#a5a5a5" strokecolor="#787878" strokeweight="1pt">
              <v:path arrowok="t"/>
              <w10:wrap type="square" anchorx="page" anchory="page"/>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p>
  <w:p w14:paraId="184A03FF" w14:textId="77777777" w:rsidR="00A477CA" w:rsidRPr="00813029" w:rsidRDefault="00A477CA" w:rsidP="001F2131">
    <w:pPr>
      <w:pStyle w:val="Piedepgina"/>
    </w:pPr>
  </w:p>
  <w:p w14:paraId="6A881F4E" w14:textId="77777777" w:rsidR="00A477CA" w:rsidRDefault="00A477CA"/>
  <w:p w14:paraId="0325F318" w14:textId="77777777" w:rsidR="00A477CA" w:rsidRDefault="00A477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2AE3" w14:textId="0E47CADF" w:rsidR="00A477CA" w:rsidRPr="00CF00D0" w:rsidRDefault="00A477CA" w:rsidP="00557CF7">
    <w:pPr>
      <w:pStyle w:val="Textoindependiente3"/>
      <w:tabs>
        <w:tab w:val="right" w:pos="13288"/>
      </w:tabs>
      <w:ind w:left="851"/>
      <w:jc w:val="center"/>
      <w:rPr>
        <w:rFonts w:ascii="Avenir LT Std 45 Book" w:hAnsi="Avenir LT Std 45 Book" w:cs="Arial"/>
        <w:color w:val="808080"/>
        <w:szCs w:val="20"/>
      </w:rPr>
    </w:pPr>
    <w:r>
      <w:rPr>
        <w:noProof/>
      </w:rPr>
      <mc:AlternateContent>
        <mc:Choice Requires="wps">
          <w:drawing>
            <wp:anchor distT="0" distB="0" distL="114300" distR="114300" simplePos="0" relativeHeight="251649536" behindDoc="0" locked="0" layoutInCell="1" allowOverlap="1" wp14:anchorId="04E84A7B" wp14:editId="5E7E0B5A">
              <wp:simplePos x="0" y="0"/>
              <wp:positionH relativeFrom="margin">
                <wp:posOffset>-49530</wp:posOffset>
              </wp:positionH>
              <wp:positionV relativeFrom="page">
                <wp:posOffset>7131685</wp:posOffset>
              </wp:positionV>
              <wp:extent cx="8442325" cy="45085"/>
              <wp:effectExtent l="0" t="0" r="0" b="0"/>
              <wp:wrapSquare wrapText="bothSides"/>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17412" id="Rectángulo 12" o:spid="_x0000_s1026" style="position:absolute;margin-left:-3.9pt;margin-top:561.55pt;width:664.75pt;height:3.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" fillcolor="#a5a5a5" strokecolor="#787878" strokeweight="1pt">
              <v:path arrowok="t"/>
              <w10:wrap type="square" anchorx="margin" anchory="page"/>
            </v:rect>
          </w:pict>
        </mc:Fallback>
      </mc:AlternateContent>
    </w:r>
    <w:r>
      <w:rPr>
        <w:rFonts w:ascii="Avenir LT Std 45 Book" w:hAnsi="Avenir LT Std 45 Book" w:cs="Arial"/>
        <w:color w:val="808080"/>
        <w:szCs w:val="20"/>
      </w:rPr>
      <w:t>NOTAS A LOS ESTADOS FINANCIEROS</w:t>
    </w:r>
    <w:r w:rsidR="00557CF7">
      <w:rPr>
        <w:rFonts w:ascii="Avenir LT Std 45 Book" w:hAnsi="Avenir LT Std 45 Book" w:cs="Arial"/>
        <w:color w:val="808080"/>
        <w:szCs w:val="20"/>
      </w:rPr>
      <w:t xml:space="preserve">                                              </w:t>
    </w:r>
    <w:r w:rsidRPr="00557CF7">
      <w:rPr>
        <w:rFonts w:ascii="Avenir LT Std 45 Book" w:hAnsi="Avenir LT Std 45 Book" w:cs="Arial"/>
        <w:b/>
        <w:bCs/>
        <w:color w:val="808080"/>
        <w:sz w:val="22"/>
        <w:szCs w:val="28"/>
      </w:rPr>
      <w:tab/>
    </w:r>
    <w:r>
      <w:rPr>
        <w:rFonts w:ascii="Avenir LT Std 45 Book" w:hAnsi="Avenir LT Std 45 Book" w:cs="Arial"/>
        <w:color w:val="808080"/>
        <w:szCs w:val="20"/>
      </w:rPr>
      <w:t xml:space="preserve">                                                                                    </w:t>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480687">
      <w:rPr>
        <w:rFonts w:ascii="Avenir LT Std 45 Book" w:hAnsi="Avenir LT Std 45 Book" w:cs="Arial"/>
        <w:noProof/>
        <w:color w:val="808080"/>
        <w:szCs w:val="20"/>
      </w:rPr>
      <w:t>16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480687">
      <w:rPr>
        <w:rFonts w:ascii="Avenir LT Std 45 Book" w:hAnsi="Avenir LT Std 45 Book" w:cs="Arial"/>
        <w:noProof/>
        <w:color w:val="808080"/>
        <w:szCs w:val="20"/>
      </w:rPr>
      <w:t>38</w:t>
    </w:r>
    <w:r w:rsidRPr="00CF00D0">
      <w:rPr>
        <w:rFonts w:ascii="Avenir LT Std 45 Book" w:hAnsi="Avenir LT Std 45 Book" w:cs="Arial"/>
        <w:color w:val="808080"/>
        <w:szCs w:val="20"/>
      </w:rPr>
      <w:fldChar w:fldCharType="end"/>
    </w:r>
  </w:p>
  <w:p w14:paraId="2B230315" w14:textId="4CEADB95" w:rsidR="00A477CA" w:rsidRPr="001E08B5" w:rsidRDefault="00A477CA">
    <w:pPr>
      <w:rPr>
        <w:rFonts w:ascii="Arial" w:hAnsi="Arial" w:cs="Arial"/>
        <w:color w:val="808080" w:themeColor="background1" w:themeShade="80"/>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F293" w14:textId="77777777" w:rsidR="00B87964" w:rsidRDefault="00B879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9820" w14:textId="77777777" w:rsidR="00FE5707" w:rsidRDefault="00FE5707" w:rsidP="00F71E5C">
      <w:r>
        <w:separator/>
      </w:r>
    </w:p>
  </w:footnote>
  <w:footnote w:type="continuationSeparator" w:id="0">
    <w:p w14:paraId="19C27D07" w14:textId="77777777" w:rsidR="00FE5707" w:rsidRDefault="00FE5707" w:rsidP="00F71E5C">
      <w:r>
        <w:continuationSeparator/>
      </w:r>
    </w:p>
  </w:footnote>
  <w:footnote w:id="1">
    <w:p w14:paraId="705E8DDE" w14:textId="0203C025" w:rsidR="00A477CA" w:rsidRPr="00001825" w:rsidRDefault="00A477CA">
      <w:pPr>
        <w:pStyle w:val="Textonotapie"/>
        <w:rPr>
          <w:rFonts w:ascii="Arial" w:hAnsi="Arial" w:cs="Arial"/>
          <w:sz w:val="16"/>
          <w:szCs w:val="16"/>
        </w:rPr>
      </w:pPr>
      <w:r w:rsidRPr="00001825">
        <w:rPr>
          <w:rStyle w:val="Refdenotaalpie"/>
          <w:rFonts w:ascii="Arial" w:hAnsi="Arial" w:cs="Arial"/>
          <w:sz w:val="16"/>
          <w:szCs w:val="16"/>
        </w:rPr>
        <w:footnoteRef/>
      </w:r>
      <w:r w:rsidRPr="00001825">
        <w:rPr>
          <w:rFonts w:ascii="Arial" w:hAnsi="Arial" w:cs="Arial"/>
          <w:sz w:val="16"/>
          <w:szCs w:val="16"/>
        </w:rPr>
        <w:t xml:space="preserve"> </w:t>
      </w:r>
      <w:r w:rsidRPr="00001825">
        <w:rPr>
          <w:rFonts w:ascii="Arial" w:hAnsi="Arial" w:cs="Arial"/>
          <w:sz w:val="12"/>
          <w:szCs w:val="12"/>
        </w:rPr>
        <w:t>Con respecto a la información de la deuda pública, ésta se incluye en el informe de deuda pública en la nota 10 “Información sobre la Deuda y el Reporte Analítico de la Deuda” de las notas de Gestión Administrativa.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F557" w14:textId="77777777" w:rsidR="00A477CA" w:rsidRPr="002809DB" w:rsidRDefault="00A477CA" w:rsidP="00F71E5C">
    <w:pPr>
      <w:rPr>
        <w:rFonts w:ascii="Soberana Sans Light" w:hAnsi="Soberana Sans Light"/>
        <w:b/>
        <w:sz w:val="20"/>
        <w:szCs w:val="20"/>
      </w:rPr>
    </w:pPr>
    <w:r>
      <w:rPr>
        <w:noProof/>
      </w:rPr>
      <mc:AlternateContent>
        <mc:Choice Requires="wps">
          <w:drawing>
            <wp:anchor distT="0" distB="0" distL="114300" distR="114300" simplePos="0" relativeHeight="251664896" behindDoc="0" locked="0" layoutInCell="1" allowOverlap="1" wp14:anchorId="61219E1E" wp14:editId="61BBD657">
              <wp:simplePos x="0" y="0"/>
              <wp:positionH relativeFrom="margin">
                <wp:posOffset>6494780</wp:posOffset>
              </wp:positionH>
              <wp:positionV relativeFrom="paragraph">
                <wp:posOffset>-159385</wp:posOffset>
              </wp:positionV>
              <wp:extent cx="1940560" cy="38417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5E27" w14:textId="60E0712C" w:rsidR="00A477CA" w:rsidRPr="00505BF8" w:rsidRDefault="00A477CA"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9E1E" id="_x0000_t202" coordsize="21600,21600" o:spt="202" path="m,l,21600r21600,l21600,xe">
              <v:stroke joinstyle="miter"/>
              <v:path gradientshapeok="t" o:connecttype="rect"/>
            </v:shapetype>
            <v:shape id="Cuadro de texto 18" o:spid="_x0000_s1029" type="#_x0000_t202" style="position:absolute;margin-left:511.4pt;margin-top:-12.55pt;width:152.8pt;height:3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" stroked="f">
              <v:textbox>
                <w:txbxContent>
                  <w:p w14:paraId="24865E27" w14:textId="60E0712C" w:rsidR="00A477CA" w:rsidRPr="00505BF8" w:rsidRDefault="00A477CA"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v:textbox>
              <w10:wrap anchorx="margin"/>
            </v:shape>
          </w:pict>
        </mc:Fallback>
      </mc:AlternateContent>
    </w:r>
    <w:r>
      <w:rPr>
        <w:noProof/>
      </w:rPr>
      <w:drawing>
        <wp:anchor distT="0" distB="0" distL="114300" distR="114300" simplePos="0" relativeHeight="251670016" behindDoc="1" locked="0" layoutInCell="1" allowOverlap="1" wp14:anchorId="7E1AA197" wp14:editId="5EB623D3">
          <wp:simplePos x="0" y="0"/>
          <wp:positionH relativeFrom="margin">
            <wp:align>left</wp:align>
          </wp:positionH>
          <wp:positionV relativeFrom="paragraph">
            <wp:posOffset>-332740</wp:posOffset>
          </wp:positionV>
          <wp:extent cx="1564005" cy="5816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C894D2B" wp14:editId="0A62133C">
              <wp:simplePos x="0" y="0"/>
              <wp:positionH relativeFrom="margin">
                <wp:align>left</wp:align>
              </wp:positionH>
              <wp:positionV relativeFrom="paragraph">
                <wp:posOffset>268605</wp:posOffset>
              </wp:positionV>
              <wp:extent cx="8442960" cy="4572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49EC" id="Rectángulo 16" o:spid="_x0000_s1026" style="position:absolute;margin-left:0;margin-top:21.15pt;width:664.8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" fillcolor="#a5a5a5" strokecolor="#787878" strokeweight="1pt">
              <v:path arrowok="t"/>
              <w10:wrap anchorx="margin"/>
            </v:rect>
          </w:pict>
        </mc:Fallback>
      </mc:AlternateContent>
    </w:r>
  </w:p>
  <w:p w14:paraId="1ED7F6E1" w14:textId="77777777" w:rsidR="00A477CA" w:rsidRDefault="00A477CA"/>
  <w:p w14:paraId="5E26DB58" w14:textId="77777777" w:rsidR="00A477CA" w:rsidRDefault="00A477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D99" w14:textId="77777777" w:rsidR="00A477CA" w:rsidRPr="00CF00D0" w:rsidRDefault="00A477CA" w:rsidP="00F71E5C">
    <w:pPr>
      <w:jc w:val="center"/>
      <w:rPr>
        <w:rFonts w:ascii="Avenir LT Std 45 Book" w:hAnsi="Avenir LT Std 45 Book"/>
        <w:b/>
        <w:color w:val="808080"/>
        <w:sz w:val="20"/>
        <w:szCs w:val="20"/>
      </w:rPr>
    </w:pPr>
    <w:r>
      <w:rPr>
        <w:noProof/>
      </w:rPr>
      <mc:AlternateContent>
        <mc:Choice Requires="wps">
          <w:drawing>
            <wp:anchor distT="0" distB="0" distL="114300" distR="114300" simplePos="0" relativeHeight="251675136" behindDoc="0" locked="0" layoutInCell="1" allowOverlap="1" wp14:anchorId="6F88A981" wp14:editId="0643FE07">
              <wp:simplePos x="0" y="0"/>
              <wp:positionH relativeFrom="margin">
                <wp:align>right</wp:align>
              </wp:positionH>
              <wp:positionV relativeFrom="paragraph">
                <wp:posOffset>-178435</wp:posOffset>
              </wp:positionV>
              <wp:extent cx="1940560" cy="304800"/>
              <wp:effectExtent l="0" t="0" r="254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C6BDE" w14:textId="3BAAF52B" w:rsidR="00A477CA" w:rsidRPr="00505BF8" w:rsidRDefault="00480687"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w:t>
                          </w:r>
                          <w:r w:rsidR="00A477CA">
                            <w:rPr>
                              <w:rFonts w:ascii="Avenir LT Std 45 Book" w:hAnsi="Avenir LT Std 45 Book" w:cs="Arial"/>
                              <w:b/>
                              <w:color w:val="808080"/>
                              <w:sz w:val="28"/>
                              <w:szCs w:val="20"/>
                            </w:rPr>
                            <w:t>embre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A981" id="_x0000_t202" coordsize="21600,21600" o:spt="202" path="m,l,21600r21600,l21600,xe">
              <v:stroke joinstyle="miter"/>
              <v:path gradientshapeok="t" o:connecttype="rect"/>
            </v:shapetype>
            <v:shape id="Cuadro de texto 13" o:spid="_x0000_s1030" type="#_x0000_t202" style="position:absolute;left:0;text-align:left;margin-left:101.6pt;margin-top:-14.05pt;width:152.8pt;height:24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" stroked="f">
              <v:textbox>
                <w:txbxContent>
                  <w:p w14:paraId="384C6BDE" w14:textId="3BAAF52B" w:rsidR="00A477CA" w:rsidRPr="00505BF8" w:rsidRDefault="00480687"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w:t>
                    </w:r>
                    <w:r w:rsidR="00A477CA">
                      <w:rPr>
                        <w:rFonts w:ascii="Avenir LT Std 45 Book" w:hAnsi="Avenir LT Std 45 Book" w:cs="Arial"/>
                        <w:b/>
                        <w:color w:val="808080"/>
                        <w:sz w:val="28"/>
                        <w:szCs w:val="20"/>
                      </w:rPr>
                      <w:t>embre 2024</w:t>
                    </w:r>
                  </w:p>
                </w:txbxContent>
              </v:textbox>
              <w10:wrap anchorx="margin"/>
            </v:shape>
          </w:pict>
        </mc:Fallback>
      </mc:AlternateContent>
    </w:r>
    <w:r>
      <w:rPr>
        <w:noProof/>
      </w:rPr>
      <mc:AlternateContent>
        <mc:Choice Requires="wps">
          <w:drawing>
            <wp:anchor distT="0" distB="0" distL="114300" distR="114300" simplePos="0" relativeHeight="251644416" behindDoc="0" locked="0" layoutInCell="1" allowOverlap="1" wp14:anchorId="4DFCECB0" wp14:editId="1A78C083">
              <wp:simplePos x="0" y="0"/>
              <wp:positionH relativeFrom="margin">
                <wp:posOffset>-48895</wp:posOffset>
              </wp:positionH>
              <wp:positionV relativeFrom="paragraph">
                <wp:posOffset>176530</wp:posOffset>
              </wp:positionV>
              <wp:extent cx="8442960" cy="4572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3C27" id="Rectángulo 15" o:spid="_x0000_s1026" style="position:absolute;margin-left:-3.85pt;margin-top:13.9pt;width:664.8pt;height:3.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" fillcolor="#a5a5a5" strokecolor="#787878" strokeweight="1pt">
              <v:path arrowok="t"/>
              <w10:wrap anchorx="margin"/>
            </v:rect>
          </w:pict>
        </mc:Fallback>
      </mc:AlternateContent>
    </w:r>
    <w:r>
      <w:rPr>
        <w:rFonts w:ascii="Avenir LT Std 45 Book" w:hAnsi="Avenir LT Std 45 Book" w:cs="Arial"/>
        <w:b/>
        <w:caps/>
        <w:noProof/>
        <w:color w:val="808080"/>
        <w:sz w:val="20"/>
        <w:szCs w:val="20"/>
      </w:rPr>
      <w:t>PODER EJECUTIVO DEL ESTADO DE QUERÉTARO</w:t>
    </w:r>
  </w:p>
  <w:p w14:paraId="049AF2BF" w14:textId="68669017" w:rsidR="00A477CA" w:rsidRDefault="00A477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8E3" w14:textId="77777777" w:rsidR="00B87964" w:rsidRDefault="00B879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9BD"/>
    <w:multiLevelType w:val="hybridMultilevel"/>
    <w:tmpl w:val="91F630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4503"/>
    <w:multiLevelType w:val="hybridMultilevel"/>
    <w:tmpl w:val="6934775A"/>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3"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4"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5" w15:restartNumberingAfterBreak="0">
    <w:nsid w:val="0E4D4262"/>
    <w:multiLevelType w:val="hybridMultilevel"/>
    <w:tmpl w:val="FC70E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C78DB"/>
    <w:multiLevelType w:val="hybridMultilevel"/>
    <w:tmpl w:val="BCFCB0E8"/>
    <w:lvl w:ilvl="0" w:tplc="080A0001">
      <w:start w:val="1"/>
      <w:numFmt w:val="bullet"/>
      <w:lvlText w:val=""/>
      <w:lvlJc w:val="left"/>
      <w:pPr>
        <w:ind w:left="720" w:hanging="360"/>
      </w:pPr>
      <w:rPr>
        <w:rFonts w:ascii="Symbol" w:hAnsi="Symbol"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0137A"/>
    <w:multiLevelType w:val="hybridMultilevel"/>
    <w:tmpl w:val="BDEA45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FD0EB1"/>
    <w:multiLevelType w:val="hybridMultilevel"/>
    <w:tmpl w:val="8E62C59A"/>
    <w:lvl w:ilvl="0" w:tplc="2416BF1A">
      <w:start w:val="5"/>
      <w:numFmt w:val="bullet"/>
      <w:lvlText w:val="-"/>
      <w:lvlJc w:val="left"/>
      <w:pPr>
        <w:ind w:left="1068" w:hanging="360"/>
      </w:pPr>
      <w:rPr>
        <w:rFonts w:ascii="Arial" w:eastAsia="Calibri"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288405DB"/>
    <w:multiLevelType w:val="hybridMultilevel"/>
    <w:tmpl w:val="B98CC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B041F"/>
    <w:multiLevelType w:val="hybridMultilevel"/>
    <w:tmpl w:val="8940E0FA"/>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15:restartNumberingAfterBreak="0">
    <w:nsid w:val="2E024EF9"/>
    <w:multiLevelType w:val="hybridMultilevel"/>
    <w:tmpl w:val="924624C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1A7701"/>
    <w:multiLevelType w:val="hybridMultilevel"/>
    <w:tmpl w:val="7BF49DF4"/>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35541FB2"/>
    <w:multiLevelType w:val="hybridMultilevel"/>
    <w:tmpl w:val="4BD0C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F0BC2"/>
    <w:multiLevelType w:val="hybridMultilevel"/>
    <w:tmpl w:val="6B16B4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080" w:firstLine="0"/>
      </w:pPr>
      <w:rPr>
        <w:rFonts w:ascii="Courier New" w:hAnsi="Courier New" w:cs="Courier New"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52790"/>
    <w:multiLevelType w:val="hybridMultilevel"/>
    <w:tmpl w:val="E0D4B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35F5914"/>
    <w:multiLevelType w:val="hybridMultilevel"/>
    <w:tmpl w:val="A39898EC"/>
    <w:lvl w:ilvl="0" w:tplc="080A0017">
      <w:start w:val="1"/>
      <w:numFmt w:val="lowerLetter"/>
      <w:lvlText w:val="%1)"/>
      <w:lvlJc w:val="left"/>
      <w:pPr>
        <w:ind w:left="720" w:hanging="360"/>
      </w:pPr>
      <w:rPr>
        <w:rFonts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71790"/>
    <w:multiLevelType w:val="hybridMultilevel"/>
    <w:tmpl w:val="2D4C4B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A509B4"/>
    <w:multiLevelType w:val="hybridMultilevel"/>
    <w:tmpl w:val="E4567844"/>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15:restartNumberingAfterBreak="0">
    <w:nsid w:val="504E12C3"/>
    <w:multiLevelType w:val="hybridMultilevel"/>
    <w:tmpl w:val="C9F2C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061865"/>
    <w:multiLevelType w:val="hybridMultilevel"/>
    <w:tmpl w:val="45588F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1B57F5"/>
    <w:multiLevelType w:val="hybridMultilevel"/>
    <w:tmpl w:val="2A6CF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225663"/>
    <w:multiLevelType w:val="hybridMultilevel"/>
    <w:tmpl w:val="47981F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FD38B2"/>
    <w:multiLevelType w:val="hybridMultilevel"/>
    <w:tmpl w:val="EF94B5B0"/>
    <w:lvl w:ilvl="0" w:tplc="76D695B0">
      <w:start w:val="1"/>
      <w:numFmt w:val="upperRoman"/>
      <w:lvlText w:val="%1)"/>
      <w:lvlJc w:val="left"/>
      <w:pPr>
        <w:ind w:left="1080" w:hanging="720"/>
      </w:pPr>
      <w:rPr>
        <w:rFonts w:hint="default"/>
      </w:rPr>
    </w:lvl>
    <w:lvl w:ilvl="1" w:tplc="A1A85B12">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403432"/>
    <w:multiLevelType w:val="hybridMultilevel"/>
    <w:tmpl w:val="376CAECA"/>
    <w:lvl w:ilvl="0" w:tplc="080A0017">
      <w:start w:val="1"/>
      <w:numFmt w:val="lowerLetter"/>
      <w:lvlText w:val="%1)"/>
      <w:lvlJc w:val="left"/>
      <w:pPr>
        <w:ind w:left="720" w:hanging="360"/>
      </w:pPr>
    </w:lvl>
    <w:lvl w:ilvl="1" w:tplc="0D32887A">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A029AE"/>
    <w:multiLevelType w:val="hybridMultilevel"/>
    <w:tmpl w:val="4198DB8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0" w15:restartNumberingAfterBreak="0">
    <w:nsid w:val="6463789F"/>
    <w:multiLevelType w:val="hybridMultilevel"/>
    <w:tmpl w:val="70700650"/>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67631856"/>
    <w:multiLevelType w:val="hybridMultilevel"/>
    <w:tmpl w:val="082CD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2A5D2A"/>
    <w:multiLevelType w:val="hybridMultilevel"/>
    <w:tmpl w:val="F3221684"/>
    <w:lvl w:ilvl="0" w:tplc="080A0001">
      <w:start w:val="1"/>
      <w:numFmt w:val="bullet"/>
      <w:lvlText w:val=""/>
      <w:lvlJc w:val="left"/>
      <w:pPr>
        <w:ind w:left="720" w:hanging="360"/>
      </w:pPr>
      <w:rPr>
        <w:rFonts w:ascii="Symbol" w:hAnsi="Symbol" w:hint="default"/>
      </w:rPr>
    </w:lvl>
    <w:lvl w:ilvl="1" w:tplc="2416BF1A">
      <w:start w:val="5"/>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DA2132"/>
    <w:multiLevelType w:val="hybridMultilevel"/>
    <w:tmpl w:val="0FA0C996"/>
    <w:lvl w:ilvl="0" w:tplc="2718523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5" w15:restartNumberingAfterBreak="0">
    <w:nsid w:val="77083BE6"/>
    <w:multiLevelType w:val="hybridMultilevel"/>
    <w:tmpl w:val="1DBAAE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D852A80"/>
    <w:multiLevelType w:val="hybridMultilevel"/>
    <w:tmpl w:val="80F6DAEE"/>
    <w:lvl w:ilvl="0" w:tplc="745A455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7F51228C"/>
    <w:multiLevelType w:val="hybridMultilevel"/>
    <w:tmpl w:val="24321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A94D2F"/>
    <w:multiLevelType w:val="hybridMultilevel"/>
    <w:tmpl w:val="293890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AC2FAF"/>
    <w:multiLevelType w:val="hybridMultilevel"/>
    <w:tmpl w:val="15CA3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2"/>
  </w:num>
  <w:num w:numId="4">
    <w:abstractNumId w:val="19"/>
  </w:num>
  <w:num w:numId="5">
    <w:abstractNumId w:val="15"/>
  </w:num>
  <w:num w:numId="6">
    <w:abstractNumId w:val="3"/>
  </w:num>
  <w:num w:numId="7">
    <w:abstractNumId w:val="4"/>
  </w:num>
  <w:num w:numId="8">
    <w:abstractNumId w:val="38"/>
  </w:num>
  <w:num w:numId="9">
    <w:abstractNumId w:val="17"/>
  </w:num>
  <w:num w:numId="10">
    <w:abstractNumId w:val="26"/>
  </w:num>
  <w:num w:numId="11">
    <w:abstractNumId w:val="6"/>
  </w:num>
  <w:num w:numId="12">
    <w:abstractNumId w:val="28"/>
  </w:num>
  <w:num w:numId="13">
    <w:abstractNumId w:val="23"/>
  </w:num>
  <w:num w:numId="14">
    <w:abstractNumId w:val="35"/>
  </w:num>
  <w:num w:numId="15">
    <w:abstractNumId w:val="14"/>
  </w:num>
  <w:num w:numId="16">
    <w:abstractNumId w:val="12"/>
  </w:num>
  <w:num w:numId="17">
    <w:abstractNumId w:val="30"/>
  </w:num>
  <w:num w:numId="18">
    <w:abstractNumId w:val="29"/>
  </w:num>
  <w:num w:numId="19">
    <w:abstractNumId w:val="21"/>
  </w:num>
  <w:num w:numId="20">
    <w:abstractNumId w:val="1"/>
  </w:num>
  <w:num w:numId="21">
    <w:abstractNumId w:val="10"/>
  </w:num>
  <w:num w:numId="22">
    <w:abstractNumId w:val="36"/>
  </w:num>
  <w:num w:numId="23">
    <w:abstractNumId w:val="37"/>
  </w:num>
  <w:num w:numId="24">
    <w:abstractNumId w:val="27"/>
  </w:num>
  <w:num w:numId="25">
    <w:abstractNumId w:val="25"/>
  </w:num>
  <w:num w:numId="26">
    <w:abstractNumId w:val="9"/>
  </w:num>
  <w:num w:numId="27">
    <w:abstractNumId w:val="13"/>
  </w:num>
  <w:num w:numId="28">
    <w:abstractNumId w:val="0"/>
  </w:num>
  <w:num w:numId="29">
    <w:abstractNumId w:val="32"/>
  </w:num>
  <w:num w:numId="30">
    <w:abstractNumId w:val="22"/>
  </w:num>
  <w:num w:numId="31">
    <w:abstractNumId w:val="8"/>
  </w:num>
  <w:num w:numId="32">
    <w:abstractNumId w:val="31"/>
  </w:num>
  <w:num w:numId="33">
    <w:abstractNumId w:val="20"/>
  </w:num>
  <w:num w:numId="34">
    <w:abstractNumId w:val="24"/>
  </w:num>
  <w:num w:numId="35">
    <w:abstractNumId w:val="11"/>
  </w:num>
  <w:num w:numId="36">
    <w:abstractNumId w:val="33"/>
  </w:num>
  <w:num w:numId="37">
    <w:abstractNumId w:val="7"/>
  </w:num>
  <w:num w:numId="38">
    <w:abstractNumId w:val="5"/>
  </w:num>
  <w:num w:numId="39">
    <w:abstractNumId w:val="16"/>
  </w:num>
  <w:num w:numId="40">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5C"/>
    <w:rsid w:val="0000022D"/>
    <w:rsid w:val="00001825"/>
    <w:rsid w:val="000032A0"/>
    <w:rsid w:val="00004521"/>
    <w:rsid w:val="00005D88"/>
    <w:rsid w:val="00007AF6"/>
    <w:rsid w:val="000101CC"/>
    <w:rsid w:val="00014527"/>
    <w:rsid w:val="00016125"/>
    <w:rsid w:val="00020DC4"/>
    <w:rsid w:val="00022613"/>
    <w:rsid w:val="00022A30"/>
    <w:rsid w:val="0002323A"/>
    <w:rsid w:val="000232E0"/>
    <w:rsid w:val="00023C4D"/>
    <w:rsid w:val="0002406C"/>
    <w:rsid w:val="00025303"/>
    <w:rsid w:val="000259EE"/>
    <w:rsid w:val="00026250"/>
    <w:rsid w:val="00027EA0"/>
    <w:rsid w:val="00030BDE"/>
    <w:rsid w:val="00034E9F"/>
    <w:rsid w:val="000358C0"/>
    <w:rsid w:val="00036657"/>
    <w:rsid w:val="00037528"/>
    <w:rsid w:val="00040B9A"/>
    <w:rsid w:val="00041430"/>
    <w:rsid w:val="000435D7"/>
    <w:rsid w:val="00045F65"/>
    <w:rsid w:val="00046166"/>
    <w:rsid w:val="00047267"/>
    <w:rsid w:val="00047421"/>
    <w:rsid w:val="000512CA"/>
    <w:rsid w:val="0005344E"/>
    <w:rsid w:val="00053B60"/>
    <w:rsid w:val="000540C6"/>
    <w:rsid w:val="000552EA"/>
    <w:rsid w:val="00057A01"/>
    <w:rsid w:val="0006055E"/>
    <w:rsid w:val="00060AE1"/>
    <w:rsid w:val="00062455"/>
    <w:rsid w:val="000633DA"/>
    <w:rsid w:val="00063D76"/>
    <w:rsid w:val="00066EEA"/>
    <w:rsid w:val="00070A3B"/>
    <w:rsid w:val="0007107F"/>
    <w:rsid w:val="000714CD"/>
    <w:rsid w:val="00071A4D"/>
    <w:rsid w:val="00072DAB"/>
    <w:rsid w:val="000747E7"/>
    <w:rsid w:val="0007655A"/>
    <w:rsid w:val="000823EC"/>
    <w:rsid w:val="000836BB"/>
    <w:rsid w:val="00084E25"/>
    <w:rsid w:val="000917F0"/>
    <w:rsid w:val="0009200A"/>
    <w:rsid w:val="00092158"/>
    <w:rsid w:val="000937B3"/>
    <w:rsid w:val="000972EF"/>
    <w:rsid w:val="0009753B"/>
    <w:rsid w:val="000A1B70"/>
    <w:rsid w:val="000A1B7C"/>
    <w:rsid w:val="000A2EAF"/>
    <w:rsid w:val="000A36BF"/>
    <w:rsid w:val="000A45C5"/>
    <w:rsid w:val="000A6CB0"/>
    <w:rsid w:val="000B13BA"/>
    <w:rsid w:val="000B1AED"/>
    <w:rsid w:val="000B4662"/>
    <w:rsid w:val="000B5524"/>
    <w:rsid w:val="000B5C64"/>
    <w:rsid w:val="000B73D3"/>
    <w:rsid w:val="000C2127"/>
    <w:rsid w:val="000C334D"/>
    <w:rsid w:val="000C4CA2"/>
    <w:rsid w:val="000C4E6F"/>
    <w:rsid w:val="000C5793"/>
    <w:rsid w:val="000C5FA8"/>
    <w:rsid w:val="000D0A35"/>
    <w:rsid w:val="000D0D25"/>
    <w:rsid w:val="000D41AA"/>
    <w:rsid w:val="000D59C3"/>
    <w:rsid w:val="000D63F1"/>
    <w:rsid w:val="000D7620"/>
    <w:rsid w:val="000D7B77"/>
    <w:rsid w:val="000E0254"/>
    <w:rsid w:val="000E1326"/>
    <w:rsid w:val="000E2E09"/>
    <w:rsid w:val="000E43ED"/>
    <w:rsid w:val="000E459A"/>
    <w:rsid w:val="000E45DB"/>
    <w:rsid w:val="000E5DCE"/>
    <w:rsid w:val="000F00A3"/>
    <w:rsid w:val="000F2E7D"/>
    <w:rsid w:val="000F3BEA"/>
    <w:rsid w:val="000F45E2"/>
    <w:rsid w:val="000F5472"/>
    <w:rsid w:val="000F60C6"/>
    <w:rsid w:val="0010018A"/>
    <w:rsid w:val="00100F41"/>
    <w:rsid w:val="00101C44"/>
    <w:rsid w:val="001025CE"/>
    <w:rsid w:val="001026BC"/>
    <w:rsid w:val="00104086"/>
    <w:rsid w:val="001045B7"/>
    <w:rsid w:val="00104E46"/>
    <w:rsid w:val="00105743"/>
    <w:rsid w:val="0010670B"/>
    <w:rsid w:val="0010775A"/>
    <w:rsid w:val="00107BDB"/>
    <w:rsid w:val="00110166"/>
    <w:rsid w:val="0011133A"/>
    <w:rsid w:val="00111B64"/>
    <w:rsid w:val="00111BA2"/>
    <w:rsid w:val="0011284C"/>
    <w:rsid w:val="00115ED0"/>
    <w:rsid w:val="00116272"/>
    <w:rsid w:val="001174F8"/>
    <w:rsid w:val="00117513"/>
    <w:rsid w:val="00117628"/>
    <w:rsid w:val="00120F1E"/>
    <w:rsid w:val="0012182B"/>
    <w:rsid w:val="001230F0"/>
    <w:rsid w:val="001271CC"/>
    <w:rsid w:val="00130F6D"/>
    <w:rsid w:val="00131BDF"/>
    <w:rsid w:val="00132165"/>
    <w:rsid w:val="001324BE"/>
    <w:rsid w:val="001325A4"/>
    <w:rsid w:val="00132CA5"/>
    <w:rsid w:val="00134B75"/>
    <w:rsid w:val="00134EF5"/>
    <w:rsid w:val="001355F0"/>
    <w:rsid w:val="0013598E"/>
    <w:rsid w:val="00135F33"/>
    <w:rsid w:val="001365BE"/>
    <w:rsid w:val="00143764"/>
    <w:rsid w:val="001460A3"/>
    <w:rsid w:val="00147AB0"/>
    <w:rsid w:val="00152D1C"/>
    <w:rsid w:val="0015534B"/>
    <w:rsid w:val="001556DC"/>
    <w:rsid w:val="0016029C"/>
    <w:rsid w:val="00160A33"/>
    <w:rsid w:val="00161D6F"/>
    <w:rsid w:val="00161F40"/>
    <w:rsid w:val="00162820"/>
    <w:rsid w:val="0016338D"/>
    <w:rsid w:val="00164611"/>
    <w:rsid w:val="00164683"/>
    <w:rsid w:val="00165124"/>
    <w:rsid w:val="00166216"/>
    <w:rsid w:val="00166924"/>
    <w:rsid w:val="00166B86"/>
    <w:rsid w:val="0016718B"/>
    <w:rsid w:val="0017087B"/>
    <w:rsid w:val="0017173B"/>
    <w:rsid w:val="00172F9E"/>
    <w:rsid w:val="00173C5C"/>
    <w:rsid w:val="00181251"/>
    <w:rsid w:val="0018327E"/>
    <w:rsid w:val="00184B3C"/>
    <w:rsid w:val="00184C25"/>
    <w:rsid w:val="001850D9"/>
    <w:rsid w:val="0018638F"/>
    <w:rsid w:val="00190703"/>
    <w:rsid w:val="001923B7"/>
    <w:rsid w:val="00195B9D"/>
    <w:rsid w:val="00197018"/>
    <w:rsid w:val="00197828"/>
    <w:rsid w:val="00197B77"/>
    <w:rsid w:val="001A245A"/>
    <w:rsid w:val="001A3C8F"/>
    <w:rsid w:val="001A6D04"/>
    <w:rsid w:val="001A741F"/>
    <w:rsid w:val="001B1815"/>
    <w:rsid w:val="001B1851"/>
    <w:rsid w:val="001B2092"/>
    <w:rsid w:val="001B2C73"/>
    <w:rsid w:val="001B37C8"/>
    <w:rsid w:val="001B3CC1"/>
    <w:rsid w:val="001B3E49"/>
    <w:rsid w:val="001B4D50"/>
    <w:rsid w:val="001B5169"/>
    <w:rsid w:val="001B53F1"/>
    <w:rsid w:val="001B5620"/>
    <w:rsid w:val="001B58EE"/>
    <w:rsid w:val="001B619A"/>
    <w:rsid w:val="001C0C83"/>
    <w:rsid w:val="001C15D7"/>
    <w:rsid w:val="001C29C5"/>
    <w:rsid w:val="001C2D0C"/>
    <w:rsid w:val="001C2E30"/>
    <w:rsid w:val="001C6D5C"/>
    <w:rsid w:val="001D1221"/>
    <w:rsid w:val="001D1809"/>
    <w:rsid w:val="001D26A5"/>
    <w:rsid w:val="001D2D28"/>
    <w:rsid w:val="001E08B5"/>
    <w:rsid w:val="001E16E3"/>
    <w:rsid w:val="001E2508"/>
    <w:rsid w:val="001E4B6E"/>
    <w:rsid w:val="001E4DD4"/>
    <w:rsid w:val="001E5724"/>
    <w:rsid w:val="001E6912"/>
    <w:rsid w:val="001E69F7"/>
    <w:rsid w:val="001E6B16"/>
    <w:rsid w:val="001E6EA4"/>
    <w:rsid w:val="001E782A"/>
    <w:rsid w:val="001F2131"/>
    <w:rsid w:val="001F306A"/>
    <w:rsid w:val="001F315F"/>
    <w:rsid w:val="001F33B9"/>
    <w:rsid w:val="001F3801"/>
    <w:rsid w:val="001F4D65"/>
    <w:rsid w:val="001F6457"/>
    <w:rsid w:val="001F6631"/>
    <w:rsid w:val="001F71E2"/>
    <w:rsid w:val="002009D5"/>
    <w:rsid w:val="0020131D"/>
    <w:rsid w:val="002022DC"/>
    <w:rsid w:val="00204DC9"/>
    <w:rsid w:val="00205266"/>
    <w:rsid w:val="00206470"/>
    <w:rsid w:val="00206ABB"/>
    <w:rsid w:val="00207EA6"/>
    <w:rsid w:val="00213E66"/>
    <w:rsid w:val="00215C41"/>
    <w:rsid w:val="002211C8"/>
    <w:rsid w:val="00222E14"/>
    <w:rsid w:val="00223F39"/>
    <w:rsid w:val="00223F75"/>
    <w:rsid w:val="002243D2"/>
    <w:rsid w:val="00224B80"/>
    <w:rsid w:val="00224CA5"/>
    <w:rsid w:val="00225CFC"/>
    <w:rsid w:val="00226B37"/>
    <w:rsid w:val="00230F63"/>
    <w:rsid w:val="00231058"/>
    <w:rsid w:val="0023218A"/>
    <w:rsid w:val="002336EC"/>
    <w:rsid w:val="00235C36"/>
    <w:rsid w:val="00237F6E"/>
    <w:rsid w:val="00240694"/>
    <w:rsid w:val="00243425"/>
    <w:rsid w:val="00247494"/>
    <w:rsid w:val="002517AF"/>
    <w:rsid w:val="00253ACB"/>
    <w:rsid w:val="00253D85"/>
    <w:rsid w:val="00254325"/>
    <w:rsid w:val="00255B57"/>
    <w:rsid w:val="0025754A"/>
    <w:rsid w:val="0026029A"/>
    <w:rsid w:val="0026086F"/>
    <w:rsid w:val="00260A15"/>
    <w:rsid w:val="0026112E"/>
    <w:rsid w:val="002611D6"/>
    <w:rsid w:val="002630CC"/>
    <w:rsid w:val="00263620"/>
    <w:rsid w:val="00264929"/>
    <w:rsid w:val="00267C0C"/>
    <w:rsid w:val="00271181"/>
    <w:rsid w:val="002711D1"/>
    <w:rsid w:val="00271D56"/>
    <w:rsid w:val="0027386B"/>
    <w:rsid w:val="00275B6B"/>
    <w:rsid w:val="00277211"/>
    <w:rsid w:val="00277423"/>
    <w:rsid w:val="00280A4C"/>
    <w:rsid w:val="00280FB2"/>
    <w:rsid w:val="00281FBB"/>
    <w:rsid w:val="00284AEC"/>
    <w:rsid w:val="002858E0"/>
    <w:rsid w:val="0028645B"/>
    <w:rsid w:val="002877E8"/>
    <w:rsid w:val="00290543"/>
    <w:rsid w:val="00291374"/>
    <w:rsid w:val="002913EF"/>
    <w:rsid w:val="002918DD"/>
    <w:rsid w:val="00293339"/>
    <w:rsid w:val="002948F8"/>
    <w:rsid w:val="0029546F"/>
    <w:rsid w:val="00296DFD"/>
    <w:rsid w:val="00296F05"/>
    <w:rsid w:val="002A0B3F"/>
    <w:rsid w:val="002A1AE0"/>
    <w:rsid w:val="002A1F9B"/>
    <w:rsid w:val="002A27CE"/>
    <w:rsid w:val="002A3133"/>
    <w:rsid w:val="002A350C"/>
    <w:rsid w:val="002A6A33"/>
    <w:rsid w:val="002A727D"/>
    <w:rsid w:val="002A7B90"/>
    <w:rsid w:val="002A7ECA"/>
    <w:rsid w:val="002B08F3"/>
    <w:rsid w:val="002B0FE5"/>
    <w:rsid w:val="002B16F5"/>
    <w:rsid w:val="002B18C7"/>
    <w:rsid w:val="002B2748"/>
    <w:rsid w:val="002B2C20"/>
    <w:rsid w:val="002B48F7"/>
    <w:rsid w:val="002B5517"/>
    <w:rsid w:val="002B6068"/>
    <w:rsid w:val="002B6245"/>
    <w:rsid w:val="002B7544"/>
    <w:rsid w:val="002C1125"/>
    <w:rsid w:val="002C1687"/>
    <w:rsid w:val="002C3E41"/>
    <w:rsid w:val="002C4AB0"/>
    <w:rsid w:val="002C791B"/>
    <w:rsid w:val="002C7950"/>
    <w:rsid w:val="002D088B"/>
    <w:rsid w:val="002D1306"/>
    <w:rsid w:val="002D130D"/>
    <w:rsid w:val="002D3927"/>
    <w:rsid w:val="002D40C5"/>
    <w:rsid w:val="002D539E"/>
    <w:rsid w:val="002D6690"/>
    <w:rsid w:val="002D6B82"/>
    <w:rsid w:val="002E08AA"/>
    <w:rsid w:val="002E0ADA"/>
    <w:rsid w:val="002E2A88"/>
    <w:rsid w:val="002E2ECC"/>
    <w:rsid w:val="002E3CB5"/>
    <w:rsid w:val="002E7586"/>
    <w:rsid w:val="002E7ACC"/>
    <w:rsid w:val="002F069E"/>
    <w:rsid w:val="002F0B27"/>
    <w:rsid w:val="002F20A3"/>
    <w:rsid w:val="002F2175"/>
    <w:rsid w:val="002F26F6"/>
    <w:rsid w:val="002F2BAD"/>
    <w:rsid w:val="002F37A9"/>
    <w:rsid w:val="002F6AAB"/>
    <w:rsid w:val="003011AC"/>
    <w:rsid w:val="00302624"/>
    <w:rsid w:val="00304B8F"/>
    <w:rsid w:val="003056B3"/>
    <w:rsid w:val="00306804"/>
    <w:rsid w:val="00306F85"/>
    <w:rsid w:val="00310650"/>
    <w:rsid w:val="00310812"/>
    <w:rsid w:val="0031139E"/>
    <w:rsid w:val="00312676"/>
    <w:rsid w:val="00312A2C"/>
    <w:rsid w:val="00312E30"/>
    <w:rsid w:val="003144A7"/>
    <w:rsid w:val="0031472E"/>
    <w:rsid w:val="00315ADD"/>
    <w:rsid w:val="00315FAD"/>
    <w:rsid w:val="0031619F"/>
    <w:rsid w:val="00316F72"/>
    <w:rsid w:val="00317129"/>
    <w:rsid w:val="003177EA"/>
    <w:rsid w:val="00317B75"/>
    <w:rsid w:val="00321250"/>
    <w:rsid w:val="00322773"/>
    <w:rsid w:val="00323CDC"/>
    <w:rsid w:val="00324E5B"/>
    <w:rsid w:val="00326BA6"/>
    <w:rsid w:val="00327978"/>
    <w:rsid w:val="0033043F"/>
    <w:rsid w:val="003310A8"/>
    <w:rsid w:val="00331146"/>
    <w:rsid w:val="003314C9"/>
    <w:rsid w:val="00332529"/>
    <w:rsid w:val="00333763"/>
    <w:rsid w:val="00333952"/>
    <w:rsid w:val="0033710C"/>
    <w:rsid w:val="00337591"/>
    <w:rsid w:val="00340305"/>
    <w:rsid w:val="0034031E"/>
    <w:rsid w:val="003413CF"/>
    <w:rsid w:val="00341E83"/>
    <w:rsid w:val="0034286C"/>
    <w:rsid w:val="00343C82"/>
    <w:rsid w:val="003444DD"/>
    <w:rsid w:val="00346777"/>
    <w:rsid w:val="003502DE"/>
    <w:rsid w:val="00350837"/>
    <w:rsid w:val="00350FF5"/>
    <w:rsid w:val="003510BA"/>
    <w:rsid w:val="00351A97"/>
    <w:rsid w:val="003528CD"/>
    <w:rsid w:val="00355998"/>
    <w:rsid w:val="0035707B"/>
    <w:rsid w:val="003609EF"/>
    <w:rsid w:val="0036264E"/>
    <w:rsid w:val="00362C88"/>
    <w:rsid w:val="0036363A"/>
    <w:rsid w:val="0036397E"/>
    <w:rsid w:val="003640C3"/>
    <w:rsid w:val="00366502"/>
    <w:rsid w:val="00366EA7"/>
    <w:rsid w:val="00367245"/>
    <w:rsid w:val="00367931"/>
    <w:rsid w:val="00370388"/>
    <w:rsid w:val="0037045C"/>
    <w:rsid w:val="00372B66"/>
    <w:rsid w:val="00372CF1"/>
    <w:rsid w:val="00373260"/>
    <w:rsid w:val="003737F5"/>
    <w:rsid w:val="00373A05"/>
    <w:rsid w:val="003753EA"/>
    <w:rsid w:val="0037590B"/>
    <w:rsid w:val="00375DFF"/>
    <w:rsid w:val="00376004"/>
    <w:rsid w:val="00376D9F"/>
    <w:rsid w:val="00376DA8"/>
    <w:rsid w:val="00381F73"/>
    <w:rsid w:val="003822F9"/>
    <w:rsid w:val="00384F4F"/>
    <w:rsid w:val="00387DC5"/>
    <w:rsid w:val="003902EE"/>
    <w:rsid w:val="0039158F"/>
    <w:rsid w:val="00395026"/>
    <w:rsid w:val="003A0435"/>
    <w:rsid w:val="003A0E7B"/>
    <w:rsid w:val="003A1622"/>
    <w:rsid w:val="003A2558"/>
    <w:rsid w:val="003A2E13"/>
    <w:rsid w:val="003A2EA0"/>
    <w:rsid w:val="003A4201"/>
    <w:rsid w:val="003A4CEC"/>
    <w:rsid w:val="003A560F"/>
    <w:rsid w:val="003A76C6"/>
    <w:rsid w:val="003B017D"/>
    <w:rsid w:val="003B04AD"/>
    <w:rsid w:val="003B08E3"/>
    <w:rsid w:val="003B0CC5"/>
    <w:rsid w:val="003B1811"/>
    <w:rsid w:val="003B2BB7"/>
    <w:rsid w:val="003B3DF9"/>
    <w:rsid w:val="003B56F9"/>
    <w:rsid w:val="003B5A84"/>
    <w:rsid w:val="003B7071"/>
    <w:rsid w:val="003C055E"/>
    <w:rsid w:val="003C07E6"/>
    <w:rsid w:val="003C0C89"/>
    <w:rsid w:val="003C1230"/>
    <w:rsid w:val="003C12BC"/>
    <w:rsid w:val="003C24D4"/>
    <w:rsid w:val="003C36DD"/>
    <w:rsid w:val="003C45C1"/>
    <w:rsid w:val="003C4747"/>
    <w:rsid w:val="003C7953"/>
    <w:rsid w:val="003C7FF3"/>
    <w:rsid w:val="003D001E"/>
    <w:rsid w:val="003D07B8"/>
    <w:rsid w:val="003D2611"/>
    <w:rsid w:val="003D2D7A"/>
    <w:rsid w:val="003D4141"/>
    <w:rsid w:val="003D4352"/>
    <w:rsid w:val="003D603B"/>
    <w:rsid w:val="003D6D45"/>
    <w:rsid w:val="003D7B4D"/>
    <w:rsid w:val="003E0C09"/>
    <w:rsid w:val="003E30CD"/>
    <w:rsid w:val="003F1FE0"/>
    <w:rsid w:val="003F2319"/>
    <w:rsid w:val="003F2D76"/>
    <w:rsid w:val="003F395B"/>
    <w:rsid w:val="003F5CC1"/>
    <w:rsid w:val="003F7134"/>
    <w:rsid w:val="00400664"/>
    <w:rsid w:val="0040129E"/>
    <w:rsid w:val="004026E4"/>
    <w:rsid w:val="00402FC8"/>
    <w:rsid w:val="00403E2C"/>
    <w:rsid w:val="0040580A"/>
    <w:rsid w:val="00410FA4"/>
    <w:rsid w:val="0041118D"/>
    <w:rsid w:val="0041152E"/>
    <w:rsid w:val="00411EEE"/>
    <w:rsid w:val="004123D7"/>
    <w:rsid w:val="004131E0"/>
    <w:rsid w:val="00417291"/>
    <w:rsid w:val="00417672"/>
    <w:rsid w:val="0042002E"/>
    <w:rsid w:val="0042029B"/>
    <w:rsid w:val="0042054D"/>
    <w:rsid w:val="00420C92"/>
    <w:rsid w:val="00423412"/>
    <w:rsid w:val="004235DA"/>
    <w:rsid w:val="004237C8"/>
    <w:rsid w:val="00423F1C"/>
    <w:rsid w:val="00427B28"/>
    <w:rsid w:val="00427BCA"/>
    <w:rsid w:val="004307C2"/>
    <w:rsid w:val="004343CB"/>
    <w:rsid w:val="00435F2C"/>
    <w:rsid w:val="00436045"/>
    <w:rsid w:val="0043700A"/>
    <w:rsid w:val="004373AF"/>
    <w:rsid w:val="00437851"/>
    <w:rsid w:val="00437903"/>
    <w:rsid w:val="00440F4F"/>
    <w:rsid w:val="0044240B"/>
    <w:rsid w:val="00443402"/>
    <w:rsid w:val="0044392B"/>
    <w:rsid w:val="00444C24"/>
    <w:rsid w:val="00444F83"/>
    <w:rsid w:val="00445127"/>
    <w:rsid w:val="004461EB"/>
    <w:rsid w:val="00447FE0"/>
    <w:rsid w:val="00450A68"/>
    <w:rsid w:val="00450A9C"/>
    <w:rsid w:val="00450B56"/>
    <w:rsid w:val="00451EB0"/>
    <w:rsid w:val="00451EB2"/>
    <w:rsid w:val="004532BD"/>
    <w:rsid w:val="0045397A"/>
    <w:rsid w:val="00454F0A"/>
    <w:rsid w:val="004606FE"/>
    <w:rsid w:val="00460A4C"/>
    <w:rsid w:val="0046154B"/>
    <w:rsid w:val="00461AAA"/>
    <w:rsid w:val="00461CB6"/>
    <w:rsid w:val="00462A15"/>
    <w:rsid w:val="0046360D"/>
    <w:rsid w:val="00467973"/>
    <w:rsid w:val="00470F06"/>
    <w:rsid w:val="00471090"/>
    <w:rsid w:val="004710C4"/>
    <w:rsid w:val="004716E8"/>
    <w:rsid w:val="004718C4"/>
    <w:rsid w:val="00471BA8"/>
    <w:rsid w:val="00474ED0"/>
    <w:rsid w:val="004751E0"/>
    <w:rsid w:val="00475619"/>
    <w:rsid w:val="0047653F"/>
    <w:rsid w:val="00477D04"/>
    <w:rsid w:val="00480687"/>
    <w:rsid w:val="004828ED"/>
    <w:rsid w:val="004863C1"/>
    <w:rsid w:val="004864D9"/>
    <w:rsid w:val="004907F6"/>
    <w:rsid w:val="004913BF"/>
    <w:rsid w:val="00491CC3"/>
    <w:rsid w:val="004934E4"/>
    <w:rsid w:val="00494746"/>
    <w:rsid w:val="00495C50"/>
    <w:rsid w:val="004960F6"/>
    <w:rsid w:val="00496BCF"/>
    <w:rsid w:val="004A2AFF"/>
    <w:rsid w:val="004A37F1"/>
    <w:rsid w:val="004A3BA9"/>
    <w:rsid w:val="004B0AF2"/>
    <w:rsid w:val="004B105F"/>
    <w:rsid w:val="004B207E"/>
    <w:rsid w:val="004B3660"/>
    <w:rsid w:val="004B4212"/>
    <w:rsid w:val="004C19A8"/>
    <w:rsid w:val="004C298E"/>
    <w:rsid w:val="004C2AC7"/>
    <w:rsid w:val="004C3639"/>
    <w:rsid w:val="004C37C8"/>
    <w:rsid w:val="004C3AE3"/>
    <w:rsid w:val="004C500E"/>
    <w:rsid w:val="004C6689"/>
    <w:rsid w:val="004C6B4A"/>
    <w:rsid w:val="004D09E6"/>
    <w:rsid w:val="004D2345"/>
    <w:rsid w:val="004D442E"/>
    <w:rsid w:val="004D48F0"/>
    <w:rsid w:val="004D4CA1"/>
    <w:rsid w:val="004D7355"/>
    <w:rsid w:val="004D7DCE"/>
    <w:rsid w:val="004E0E3A"/>
    <w:rsid w:val="004E1DD0"/>
    <w:rsid w:val="004E2603"/>
    <w:rsid w:val="004E3DCF"/>
    <w:rsid w:val="004E443D"/>
    <w:rsid w:val="004E502D"/>
    <w:rsid w:val="004E5747"/>
    <w:rsid w:val="004E6BEF"/>
    <w:rsid w:val="004F1671"/>
    <w:rsid w:val="004F207E"/>
    <w:rsid w:val="004F72BC"/>
    <w:rsid w:val="004F747F"/>
    <w:rsid w:val="004F775A"/>
    <w:rsid w:val="0050231A"/>
    <w:rsid w:val="0050285D"/>
    <w:rsid w:val="00502C13"/>
    <w:rsid w:val="00503712"/>
    <w:rsid w:val="00503D4F"/>
    <w:rsid w:val="00505ABD"/>
    <w:rsid w:val="00507B9D"/>
    <w:rsid w:val="0051514A"/>
    <w:rsid w:val="005151D2"/>
    <w:rsid w:val="00516608"/>
    <w:rsid w:val="0052016F"/>
    <w:rsid w:val="00521AF8"/>
    <w:rsid w:val="005226A2"/>
    <w:rsid w:val="00522798"/>
    <w:rsid w:val="00523AB3"/>
    <w:rsid w:val="00526EDF"/>
    <w:rsid w:val="0052742C"/>
    <w:rsid w:val="00527FFC"/>
    <w:rsid w:val="005311D1"/>
    <w:rsid w:val="00533BD0"/>
    <w:rsid w:val="00535D25"/>
    <w:rsid w:val="005364A5"/>
    <w:rsid w:val="00540C60"/>
    <w:rsid w:val="0054121E"/>
    <w:rsid w:val="005423C3"/>
    <w:rsid w:val="00543663"/>
    <w:rsid w:val="00544C60"/>
    <w:rsid w:val="005459EB"/>
    <w:rsid w:val="005460E9"/>
    <w:rsid w:val="005479EE"/>
    <w:rsid w:val="00550A76"/>
    <w:rsid w:val="005518DD"/>
    <w:rsid w:val="005519EC"/>
    <w:rsid w:val="00553011"/>
    <w:rsid w:val="0055501D"/>
    <w:rsid w:val="0055572C"/>
    <w:rsid w:val="00557CF7"/>
    <w:rsid w:val="00557EAD"/>
    <w:rsid w:val="0056043B"/>
    <w:rsid w:val="00561764"/>
    <w:rsid w:val="00562BB8"/>
    <w:rsid w:val="0056335A"/>
    <w:rsid w:val="00565033"/>
    <w:rsid w:val="0056577D"/>
    <w:rsid w:val="00565E80"/>
    <w:rsid w:val="00567890"/>
    <w:rsid w:val="005703CE"/>
    <w:rsid w:val="005717D0"/>
    <w:rsid w:val="005725FE"/>
    <w:rsid w:val="00572D89"/>
    <w:rsid w:val="00572E7D"/>
    <w:rsid w:val="005738F6"/>
    <w:rsid w:val="005743AA"/>
    <w:rsid w:val="005750DA"/>
    <w:rsid w:val="00580082"/>
    <w:rsid w:val="00581C6A"/>
    <w:rsid w:val="00582EE4"/>
    <w:rsid w:val="00582FB2"/>
    <w:rsid w:val="00583726"/>
    <w:rsid w:val="00583D1D"/>
    <w:rsid w:val="00584A87"/>
    <w:rsid w:val="00584B26"/>
    <w:rsid w:val="00584FD0"/>
    <w:rsid w:val="00585BA6"/>
    <w:rsid w:val="00587AF8"/>
    <w:rsid w:val="00590901"/>
    <w:rsid w:val="00591C4B"/>
    <w:rsid w:val="00593173"/>
    <w:rsid w:val="00593691"/>
    <w:rsid w:val="0059426B"/>
    <w:rsid w:val="00594501"/>
    <w:rsid w:val="00595D68"/>
    <w:rsid w:val="005970D8"/>
    <w:rsid w:val="00597DB8"/>
    <w:rsid w:val="00597DBA"/>
    <w:rsid w:val="005A18DF"/>
    <w:rsid w:val="005A2023"/>
    <w:rsid w:val="005B2208"/>
    <w:rsid w:val="005B4C38"/>
    <w:rsid w:val="005B5C27"/>
    <w:rsid w:val="005B5D66"/>
    <w:rsid w:val="005B752F"/>
    <w:rsid w:val="005C0201"/>
    <w:rsid w:val="005C112B"/>
    <w:rsid w:val="005C2D28"/>
    <w:rsid w:val="005C422A"/>
    <w:rsid w:val="005C6740"/>
    <w:rsid w:val="005C6CF9"/>
    <w:rsid w:val="005D36FD"/>
    <w:rsid w:val="005D39CD"/>
    <w:rsid w:val="005D3CE8"/>
    <w:rsid w:val="005D4257"/>
    <w:rsid w:val="005D55D2"/>
    <w:rsid w:val="005D6B39"/>
    <w:rsid w:val="005E1DD9"/>
    <w:rsid w:val="005E2EAB"/>
    <w:rsid w:val="005E33FB"/>
    <w:rsid w:val="005E413B"/>
    <w:rsid w:val="005E43CA"/>
    <w:rsid w:val="005E63EA"/>
    <w:rsid w:val="005E64BF"/>
    <w:rsid w:val="005E730F"/>
    <w:rsid w:val="005F10F6"/>
    <w:rsid w:val="005F20C1"/>
    <w:rsid w:val="005F490A"/>
    <w:rsid w:val="005F6F2D"/>
    <w:rsid w:val="00602756"/>
    <w:rsid w:val="00602854"/>
    <w:rsid w:val="00603ABF"/>
    <w:rsid w:val="00605963"/>
    <w:rsid w:val="00605B36"/>
    <w:rsid w:val="00607D6D"/>
    <w:rsid w:val="0061016B"/>
    <w:rsid w:val="00610592"/>
    <w:rsid w:val="006108B7"/>
    <w:rsid w:val="00611273"/>
    <w:rsid w:val="006143C9"/>
    <w:rsid w:val="00615B5C"/>
    <w:rsid w:val="006168AF"/>
    <w:rsid w:val="006179C8"/>
    <w:rsid w:val="006226EC"/>
    <w:rsid w:val="00623C73"/>
    <w:rsid w:val="00623C7F"/>
    <w:rsid w:val="00624B50"/>
    <w:rsid w:val="00627A61"/>
    <w:rsid w:val="00632DAD"/>
    <w:rsid w:val="00633960"/>
    <w:rsid w:val="006357CE"/>
    <w:rsid w:val="006360BB"/>
    <w:rsid w:val="006368A3"/>
    <w:rsid w:val="00640E90"/>
    <w:rsid w:val="00641FC3"/>
    <w:rsid w:val="0064298E"/>
    <w:rsid w:val="00646074"/>
    <w:rsid w:val="00646290"/>
    <w:rsid w:val="00651EF2"/>
    <w:rsid w:val="006528E1"/>
    <w:rsid w:val="00654D85"/>
    <w:rsid w:val="0065561D"/>
    <w:rsid w:val="00656298"/>
    <w:rsid w:val="006571AB"/>
    <w:rsid w:val="00657C8B"/>
    <w:rsid w:val="00660A33"/>
    <w:rsid w:val="00660F01"/>
    <w:rsid w:val="00661602"/>
    <w:rsid w:val="00663017"/>
    <w:rsid w:val="00665441"/>
    <w:rsid w:val="00666704"/>
    <w:rsid w:val="00671E44"/>
    <w:rsid w:val="006720EB"/>
    <w:rsid w:val="006723BF"/>
    <w:rsid w:val="006734F3"/>
    <w:rsid w:val="006761CC"/>
    <w:rsid w:val="00677322"/>
    <w:rsid w:val="00677D1D"/>
    <w:rsid w:val="006806FA"/>
    <w:rsid w:val="0068127B"/>
    <w:rsid w:val="0068274A"/>
    <w:rsid w:val="0068349D"/>
    <w:rsid w:val="00683E36"/>
    <w:rsid w:val="00685D10"/>
    <w:rsid w:val="00685E54"/>
    <w:rsid w:val="00686A1D"/>
    <w:rsid w:val="0068778B"/>
    <w:rsid w:val="00687B08"/>
    <w:rsid w:val="00691FD6"/>
    <w:rsid w:val="00692DF5"/>
    <w:rsid w:val="006930B0"/>
    <w:rsid w:val="00693DA1"/>
    <w:rsid w:val="00693F85"/>
    <w:rsid w:val="00693FF3"/>
    <w:rsid w:val="00694153"/>
    <w:rsid w:val="0069459A"/>
    <w:rsid w:val="006962F9"/>
    <w:rsid w:val="006A39D0"/>
    <w:rsid w:val="006A3EB4"/>
    <w:rsid w:val="006A4372"/>
    <w:rsid w:val="006A4E7C"/>
    <w:rsid w:val="006A611B"/>
    <w:rsid w:val="006A6143"/>
    <w:rsid w:val="006A71CF"/>
    <w:rsid w:val="006B0C85"/>
    <w:rsid w:val="006B16ED"/>
    <w:rsid w:val="006B173A"/>
    <w:rsid w:val="006B19AA"/>
    <w:rsid w:val="006B1AA7"/>
    <w:rsid w:val="006B308C"/>
    <w:rsid w:val="006B611E"/>
    <w:rsid w:val="006B636B"/>
    <w:rsid w:val="006B6C08"/>
    <w:rsid w:val="006B6DDC"/>
    <w:rsid w:val="006C0889"/>
    <w:rsid w:val="006C0EA5"/>
    <w:rsid w:val="006C1164"/>
    <w:rsid w:val="006C37D4"/>
    <w:rsid w:val="006C534B"/>
    <w:rsid w:val="006C5553"/>
    <w:rsid w:val="006C6111"/>
    <w:rsid w:val="006C6D7A"/>
    <w:rsid w:val="006C7378"/>
    <w:rsid w:val="006D04AA"/>
    <w:rsid w:val="006D0D47"/>
    <w:rsid w:val="006D388A"/>
    <w:rsid w:val="006D455F"/>
    <w:rsid w:val="006D4BC8"/>
    <w:rsid w:val="006D4E49"/>
    <w:rsid w:val="006D5A9A"/>
    <w:rsid w:val="006D61BA"/>
    <w:rsid w:val="006D7073"/>
    <w:rsid w:val="006D7FF8"/>
    <w:rsid w:val="006E0863"/>
    <w:rsid w:val="006E2E62"/>
    <w:rsid w:val="006E32EC"/>
    <w:rsid w:val="006E386F"/>
    <w:rsid w:val="006E523A"/>
    <w:rsid w:val="006E5954"/>
    <w:rsid w:val="006E5F33"/>
    <w:rsid w:val="006E731A"/>
    <w:rsid w:val="006E7366"/>
    <w:rsid w:val="006F311E"/>
    <w:rsid w:val="006F3A94"/>
    <w:rsid w:val="006F4934"/>
    <w:rsid w:val="006F6364"/>
    <w:rsid w:val="006F64FC"/>
    <w:rsid w:val="006F7142"/>
    <w:rsid w:val="006F79CA"/>
    <w:rsid w:val="007017B8"/>
    <w:rsid w:val="00702909"/>
    <w:rsid w:val="00707300"/>
    <w:rsid w:val="007075EB"/>
    <w:rsid w:val="0071230D"/>
    <w:rsid w:val="007126F9"/>
    <w:rsid w:val="00712753"/>
    <w:rsid w:val="00714FA2"/>
    <w:rsid w:val="00716FA9"/>
    <w:rsid w:val="00720BD7"/>
    <w:rsid w:val="00720C36"/>
    <w:rsid w:val="00721D7B"/>
    <w:rsid w:val="00722E94"/>
    <w:rsid w:val="00723A80"/>
    <w:rsid w:val="00723BC0"/>
    <w:rsid w:val="0072787A"/>
    <w:rsid w:val="00727F47"/>
    <w:rsid w:val="007318F9"/>
    <w:rsid w:val="00731906"/>
    <w:rsid w:val="00734BB0"/>
    <w:rsid w:val="00735C33"/>
    <w:rsid w:val="0073615D"/>
    <w:rsid w:val="00736EB3"/>
    <w:rsid w:val="00737019"/>
    <w:rsid w:val="00737218"/>
    <w:rsid w:val="0074305B"/>
    <w:rsid w:val="0075037B"/>
    <w:rsid w:val="007506A9"/>
    <w:rsid w:val="0075464C"/>
    <w:rsid w:val="00755962"/>
    <w:rsid w:val="007573F6"/>
    <w:rsid w:val="00760772"/>
    <w:rsid w:val="0076151A"/>
    <w:rsid w:val="007636B9"/>
    <w:rsid w:val="00764A61"/>
    <w:rsid w:val="0077051A"/>
    <w:rsid w:val="00775C32"/>
    <w:rsid w:val="007768D7"/>
    <w:rsid w:val="00777F73"/>
    <w:rsid w:val="007807B4"/>
    <w:rsid w:val="00780BD1"/>
    <w:rsid w:val="007825EF"/>
    <w:rsid w:val="00782ACD"/>
    <w:rsid w:val="00786799"/>
    <w:rsid w:val="00786CB0"/>
    <w:rsid w:val="007873F4"/>
    <w:rsid w:val="00787DBB"/>
    <w:rsid w:val="00792D6B"/>
    <w:rsid w:val="0079493C"/>
    <w:rsid w:val="007952CA"/>
    <w:rsid w:val="007A0A6C"/>
    <w:rsid w:val="007A0EF8"/>
    <w:rsid w:val="007A22EE"/>
    <w:rsid w:val="007A365B"/>
    <w:rsid w:val="007A7397"/>
    <w:rsid w:val="007B027E"/>
    <w:rsid w:val="007B0675"/>
    <w:rsid w:val="007B14F7"/>
    <w:rsid w:val="007B36C8"/>
    <w:rsid w:val="007B3EF1"/>
    <w:rsid w:val="007B47B2"/>
    <w:rsid w:val="007B56BF"/>
    <w:rsid w:val="007B7BF3"/>
    <w:rsid w:val="007C12AB"/>
    <w:rsid w:val="007C16C2"/>
    <w:rsid w:val="007C178C"/>
    <w:rsid w:val="007C45C5"/>
    <w:rsid w:val="007C4997"/>
    <w:rsid w:val="007C5E41"/>
    <w:rsid w:val="007C60A2"/>
    <w:rsid w:val="007C61BD"/>
    <w:rsid w:val="007D0502"/>
    <w:rsid w:val="007D101C"/>
    <w:rsid w:val="007D1E76"/>
    <w:rsid w:val="007D7743"/>
    <w:rsid w:val="007E010C"/>
    <w:rsid w:val="007E0CC8"/>
    <w:rsid w:val="007E1A00"/>
    <w:rsid w:val="007E1F68"/>
    <w:rsid w:val="007E2498"/>
    <w:rsid w:val="007E545B"/>
    <w:rsid w:val="007E6B5A"/>
    <w:rsid w:val="007E7FD5"/>
    <w:rsid w:val="007F3EB9"/>
    <w:rsid w:val="007F3F11"/>
    <w:rsid w:val="007F460F"/>
    <w:rsid w:val="007F6524"/>
    <w:rsid w:val="007F754C"/>
    <w:rsid w:val="00800B19"/>
    <w:rsid w:val="00802090"/>
    <w:rsid w:val="008029DE"/>
    <w:rsid w:val="00803A71"/>
    <w:rsid w:val="0080414A"/>
    <w:rsid w:val="00804CAE"/>
    <w:rsid w:val="00806497"/>
    <w:rsid w:val="008106C7"/>
    <w:rsid w:val="00813E54"/>
    <w:rsid w:val="00814C79"/>
    <w:rsid w:val="00814F8C"/>
    <w:rsid w:val="008150EA"/>
    <w:rsid w:val="0081593C"/>
    <w:rsid w:val="00816FC5"/>
    <w:rsid w:val="00817C5B"/>
    <w:rsid w:val="00822A95"/>
    <w:rsid w:val="00823554"/>
    <w:rsid w:val="00823EBE"/>
    <w:rsid w:val="0082578B"/>
    <w:rsid w:val="008276F0"/>
    <w:rsid w:val="00830B49"/>
    <w:rsid w:val="00830CDD"/>
    <w:rsid w:val="0083107E"/>
    <w:rsid w:val="00831545"/>
    <w:rsid w:val="008334FD"/>
    <w:rsid w:val="00833DEE"/>
    <w:rsid w:val="00833E16"/>
    <w:rsid w:val="008340B1"/>
    <w:rsid w:val="00834620"/>
    <w:rsid w:val="00835E29"/>
    <w:rsid w:val="0083719B"/>
    <w:rsid w:val="00837664"/>
    <w:rsid w:val="00837818"/>
    <w:rsid w:val="008410E1"/>
    <w:rsid w:val="00842326"/>
    <w:rsid w:val="00842E65"/>
    <w:rsid w:val="00842F16"/>
    <w:rsid w:val="00843437"/>
    <w:rsid w:val="008441ED"/>
    <w:rsid w:val="00844401"/>
    <w:rsid w:val="008503B1"/>
    <w:rsid w:val="008530DC"/>
    <w:rsid w:val="008535A6"/>
    <w:rsid w:val="0085518B"/>
    <w:rsid w:val="00856FD9"/>
    <w:rsid w:val="00860054"/>
    <w:rsid w:val="008602D7"/>
    <w:rsid w:val="00861388"/>
    <w:rsid w:val="0086193F"/>
    <w:rsid w:val="00862005"/>
    <w:rsid w:val="00863350"/>
    <w:rsid w:val="0086453B"/>
    <w:rsid w:val="00864EF4"/>
    <w:rsid w:val="00865781"/>
    <w:rsid w:val="00867A5C"/>
    <w:rsid w:val="008702DD"/>
    <w:rsid w:val="00870678"/>
    <w:rsid w:val="008708D3"/>
    <w:rsid w:val="008711D5"/>
    <w:rsid w:val="0087583E"/>
    <w:rsid w:val="00875F5D"/>
    <w:rsid w:val="00877606"/>
    <w:rsid w:val="00877AB5"/>
    <w:rsid w:val="008812C1"/>
    <w:rsid w:val="00882070"/>
    <w:rsid w:val="008827E3"/>
    <w:rsid w:val="0088375F"/>
    <w:rsid w:val="00886815"/>
    <w:rsid w:val="00887860"/>
    <w:rsid w:val="00891257"/>
    <w:rsid w:val="00894C5A"/>
    <w:rsid w:val="00896332"/>
    <w:rsid w:val="0089784F"/>
    <w:rsid w:val="008A0574"/>
    <w:rsid w:val="008A0DA2"/>
    <w:rsid w:val="008A3D0C"/>
    <w:rsid w:val="008A4E34"/>
    <w:rsid w:val="008A59A2"/>
    <w:rsid w:val="008A5AE2"/>
    <w:rsid w:val="008A5B89"/>
    <w:rsid w:val="008A5EC5"/>
    <w:rsid w:val="008B05FF"/>
    <w:rsid w:val="008B10AE"/>
    <w:rsid w:val="008B512C"/>
    <w:rsid w:val="008B5C8A"/>
    <w:rsid w:val="008B7556"/>
    <w:rsid w:val="008C1D8B"/>
    <w:rsid w:val="008C4AAC"/>
    <w:rsid w:val="008C559A"/>
    <w:rsid w:val="008C627D"/>
    <w:rsid w:val="008D126E"/>
    <w:rsid w:val="008D2CB5"/>
    <w:rsid w:val="008D436D"/>
    <w:rsid w:val="008D49C7"/>
    <w:rsid w:val="008D59BF"/>
    <w:rsid w:val="008D66F9"/>
    <w:rsid w:val="008D67B0"/>
    <w:rsid w:val="008E08D2"/>
    <w:rsid w:val="008E10C7"/>
    <w:rsid w:val="008E1D5B"/>
    <w:rsid w:val="008E1D91"/>
    <w:rsid w:val="008E1F71"/>
    <w:rsid w:val="008E5072"/>
    <w:rsid w:val="008E64C8"/>
    <w:rsid w:val="008E76E2"/>
    <w:rsid w:val="008E7C6F"/>
    <w:rsid w:val="008E7DE6"/>
    <w:rsid w:val="008F12CC"/>
    <w:rsid w:val="008F6F8B"/>
    <w:rsid w:val="00900290"/>
    <w:rsid w:val="0090077E"/>
    <w:rsid w:val="00902F00"/>
    <w:rsid w:val="00903741"/>
    <w:rsid w:val="00905788"/>
    <w:rsid w:val="009068B0"/>
    <w:rsid w:val="00907548"/>
    <w:rsid w:val="00910616"/>
    <w:rsid w:val="009106A5"/>
    <w:rsid w:val="009106BF"/>
    <w:rsid w:val="00912E4C"/>
    <w:rsid w:val="00915CDA"/>
    <w:rsid w:val="00917AEB"/>
    <w:rsid w:val="009208A6"/>
    <w:rsid w:val="00920C34"/>
    <w:rsid w:val="0092398A"/>
    <w:rsid w:val="00923D0B"/>
    <w:rsid w:val="00925BB6"/>
    <w:rsid w:val="009275EF"/>
    <w:rsid w:val="009276B1"/>
    <w:rsid w:val="00927D92"/>
    <w:rsid w:val="009307AE"/>
    <w:rsid w:val="009310F5"/>
    <w:rsid w:val="00931400"/>
    <w:rsid w:val="009334FE"/>
    <w:rsid w:val="009335EB"/>
    <w:rsid w:val="0093420E"/>
    <w:rsid w:val="00934309"/>
    <w:rsid w:val="00937F76"/>
    <w:rsid w:val="0094289C"/>
    <w:rsid w:val="00943FA8"/>
    <w:rsid w:val="009445C0"/>
    <w:rsid w:val="009447A6"/>
    <w:rsid w:val="009463B9"/>
    <w:rsid w:val="00946DAD"/>
    <w:rsid w:val="00946DC5"/>
    <w:rsid w:val="00947F25"/>
    <w:rsid w:val="0095106D"/>
    <w:rsid w:val="0095232B"/>
    <w:rsid w:val="00952C65"/>
    <w:rsid w:val="009559D8"/>
    <w:rsid w:val="00955B1B"/>
    <w:rsid w:val="00955D69"/>
    <w:rsid w:val="00960A9E"/>
    <w:rsid w:val="00961B17"/>
    <w:rsid w:val="0096248D"/>
    <w:rsid w:val="00962FAB"/>
    <w:rsid w:val="00963FB9"/>
    <w:rsid w:val="009644F7"/>
    <w:rsid w:val="009652DB"/>
    <w:rsid w:val="009666A0"/>
    <w:rsid w:val="00966CCB"/>
    <w:rsid w:val="009675F1"/>
    <w:rsid w:val="00972607"/>
    <w:rsid w:val="009733E7"/>
    <w:rsid w:val="009805FE"/>
    <w:rsid w:val="0098166F"/>
    <w:rsid w:val="00981DE1"/>
    <w:rsid w:val="00981F4A"/>
    <w:rsid w:val="00982531"/>
    <w:rsid w:val="00982F6F"/>
    <w:rsid w:val="00985365"/>
    <w:rsid w:val="0098577D"/>
    <w:rsid w:val="00986B05"/>
    <w:rsid w:val="00991B60"/>
    <w:rsid w:val="00992C94"/>
    <w:rsid w:val="009945E9"/>
    <w:rsid w:val="0099467F"/>
    <w:rsid w:val="00994B1C"/>
    <w:rsid w:val="00995DC9"/>
    <w:rsid w:val="00997D94"/>
    <w:rsid w:val="009A1546"/>
    <w:rsid w:val="009A1BDC"/>
    <w:rsid w:val="009A3424"/>
    <w:rsid w:val="009A36F6"/>
    <w:rsid w:val="009A47F0"/>
    <w:rsid w:val="009A4ED2"/>
    <w:rsid w:val="009A51D2"/>
    <w:rsid w:val="009B01FF"/>
    <w:rsid w:val="009B362A"/>
    <w:rsid w:val="009B36A8"/>
    <w:rsid w:val="009B4495"/>
    <w:rsid w:val="009B4E8B"/>
    <w:rsid w:val="009B6135"/>
    <w:rsid w:val="009B74CD"/>
    <w:rsid w:val="009C3626"/>
    <w:rsid w:val="009C438F"/>
    <w:rsid w:val="009C5FA4"/>
    <w:rsid w:val="009C5FBD"/>
    <w:rsid w:val="009C6320"/>
    <w:rsid w:val="009C739A"/>
    <w:rsid w:val="009D1A53"/>
    <w:rsid w:val="009D1E41"/>
    <w:rsid w:val="009D26BC"/>
    <w:rsid w:val="009D3E5D"/>
    <w:rsid w:val="009D41C0"/>
    <w:rsid w:val="009D55ED"/>
    <w:rsid w:val="009D5B53"/>
    <w:rsid w:val="009D61FC"/>
    <w:rsid w:val="009D6AA7"/>
    <w:rsid w:val="009D6ACF"/>
    <w:rsid w:val="009D7176"/>
    <w:rsid w:val="009D768A"/>
    <w:rsid w:val="009D7782"/>
    <w:rsid w:val="009E09D9"/>
    <w:rsid w:val="009E1586"/>
    <w:rsid w:val="009E35FD"/>
    <w:rsid w:val="009E4E08"/>
    <w:rsid w:val="009E5564"/>
    <w:rsid w:val="009E6896"/>
    <w:rsid w:val="009F00BC"/>
    <w:rsid w:val="009F0179"/>
    <w:rsid w:val="009F0BEA"/>
    <w:rsid w:val="009F174A"/>
    <w:rsid w:val="009F208E"/>
    <w:rsid w:val="009F29F8"/>
    <w:rsid w:val="009F3192"/>
    <w:rsid w:val="009F6486"/>
    <w:rsid w:val="009F7BDE"/>
    <w:rsid w:val="00A0319E"/>
    <w:rsid w:val="00A0442A"/>
    <w:rsid w:val="00A05779"/>
    <w:rsid w:val="00A0593D"/>
    <w:rsid w:val="00A077E1"/>
    <w:rsid w:val="00A11B40"/>
    <w:rsid w:val="00A12B07"/>
    <w:rsid w:val="00A13037"/>
    <w:rsid w:val="00A1410C"/>
    <w:rsid w:val="00A154AC"/>
    <w:rsid w:val="00A156DF"/>
    <w:rsid w:val="00A169D4"/>
    <w:rsid w:val="00A16D5B"/>
    <w:rsid w:val="00A16EF1"/>
    <w:rsid w:val="00A170AC"/>
    <w:rsid w:val="00A21AE1"/>
    <w:rsid w:val="00A21BDF"/>
    <w:rsid w:val="00A2249D"/>
    <w:rsid w:val="00A22AB5"/>
    <w:rsid w:val="00A258DC"/>
    <w:rsid w:val="00A261F9"/>
    <w:rsid w:val="00A26A51"/>
    <w:rsid w:val="00A278A8"/>
    <w:rsid w:val="00A311E1"/>
    <w:rsid w:val="00A330AF"/>
    <w:rsid w:val="00A34038"/>
    <w:rsid w:val="00A36A7A"/>
    <w:rsid w:val="00A379C3"/>
    <w:rsid w:val="00A37B81"/>
    <w:rsid w:val="00A42CC6"/>
    <w:rsid w:val="00A43C7C"/>
    <w:rsid w:val="00A46950"/>
    <w:rsid w:val="00A46ABC"/>
    <w:rsid w:val="00A477CA"/>
    <w:rsid w:val="00A5042F"/>
    <w:rsid w:val="00A50697"/>
    <w:rsid w:val="00A50ED0"/>
    <w:rsid w:val="00A54DAF"/>
    <w:rsid w:val="00A558C0"/>
    <w:rsid w:val="00A57FF9"/>
    <w:rsid w:val="00A62EB2"/>
    <w:rsid w:val="00A62F0B"/>
    <w:rsid w:val="00A65CE4"/>
    <w:rsid w:val="00A665FE"/>
    <w:rsid w:val="00A66ACC"/>
    <w:rsid w:val="00A7075B"/>
    <w:rsid w:val="00A7078C"/>
    <w:rsid w:val="00A7242F"/>
    <w:rsid w:val="00A738C6"/>
    <w:rsid w:val="00A748F2"/>
    <w:rsid w:val="00A76F5D"/>
    <w:rsid w:val="00A779D2"/>
    <w:rsid w:val="00A80CF5"/>
    <w:rsid w:val="00A81AB5"/>
    <w:rsid w:val="00A82A4B"/>
    <w:rsid w:val="00A83CB6"/>
    <w:rsid w:val="00A83FB3"/>
    <w:rsid w:val="00A8732C"/>
    <w:rsid w:val="00A92296"/>
    <w:rsid w:val="00A947D5"/>
    <w:rsid w:val="00A9601E"/>
    <w:rsid w:val="00A97612"/>
    <w:rsid w:val="00AA0C65"/>
    <w:rsid w:val="00AA1A6A"/>
    <w:rsid w:val="00AA6207"/>
    <w:rsid w:val="00AB047D"/>
    <w:rsid w:val="00AB2A19"/>
    <w:rsid w:val="00AB2E64"/>
    <w:rsid w:val="00AB3F3C"/>
    <w:rsid w:val="00AB487D"/>
    <w:rsid w:val="00AB534E"/>
    <w:rsid w:val="00AB6BB2"/>
    <w:rsid w:val="00AB6CC9"/>
    <w:rsid w:val="00AC067D"/>
    <w:rsid w:val="00AC149F"/>
    <w:rsid w:val="00AC1980"/>
    <w:rsid w:val="00AC43C0"/>
    <w:rsid w:val="00AC4D52"/>
    <w:rsid w:val="00AC5430"/>
    <w:rsid w:val="00AC731C"/>
    <w:rsid w:val="00AC7A13"/>
    <w:rsid w:val="00AD0B17"/>
    <w:rsid w:val="00AD286F"/>
    <w:rsid w:val="00AD2EC9"/>
    <w:rsid w:val="00AD3C93"/>
    <w:rsid w:val="00AD69F2"/>
    <w:rsid w:val="00AE126A"/>
    <w:rsid w:val="00AE142F"/>
    <w:rsid w:val="00AE2AAD"/>
    <w:rsid w:val="00AE48DA"/>
    <w:rsid w:val="00AE4AE6"/>
    <w:rsid w:val="00AE5421"/>
    <w:rsid w:val="00AE7619"/>
    <w:rsid w:val="00AE7739"/>
    <w:rsid w:val="00AF263D"/>
    <w:rsid w:val="00AF26E1"/>
    <w:rsid w:val="00AF32DC"/>
    <w:rsid w:val="00AF3675"/>
    <w:rsid w:val="00AF40E5"/>
    <w:rsid w:val="00AF5484"/>
    <w:rsid w:val="00AF6204"/>
    <w:rsid w:val="00B00DA6"/>
    <w:rsid w:val="00B0119A"/>
    <w:rsid w:val="00B033C4"/>
    <w:rsid w:val="00B04CBE"/>
    <w:rsid w:val="00B05873"/>
    <w:rsid w:val="00B0618E"/>
    <w:rsid w:val="00B10858"/>
    <w:rsid w:val="00B10919"/>
    <w:rsid w:val="00B13C46"/>
    <w:rsid w:val="00B1507D"/>
    <w:rsid w:val="00B15768"/>
    <w:rsid w:val="00B1576F"/>
    <w:rsid w:val="00B157F2"/>
    <w:rsid w:val="00B1690B"/>
    <w:rsid w:val="00B16B3D"/>
    <w:rsid w:val="00B1748C"/>
    <w:rsid w:val="00B20C39"/>
    <w:rsid w:val="00B21DA1"/>
    <w:rsid w:val="00B242B5"/>
    <w:rsid w:val="00B26713"/>
    <w:rsid w:val="00B26D94"/>
    <w:rsid w:val="00B27A26"/>
    <w:rsid w:val="00B30CEE"/>
    <w:rsid w:val="00B32168"/>
    <w:rsid w:val="00B331BC"/>
    <w:rsid w:val="00B34824"/>
    <w:rsid w:val="00B349DF"/>
    <w:rsid w:val="00B361F4"/>
    <w:rsid w:val="00B36CD9"/>
    <w:rsid w:val="00B3706C"/>
    <w:rsid w:val="00B40ED8"/>
    <w:rsid w:val="00B41318"/>
    <w:rsid w:val="00B431C0"/>
    <w:rsid w:val="00B434D5"/>
    <w:rsid w:val="00B4448E"/>
    <w:rsid w:val="00B44A36"/>
    <w:rsid w:val="00B44B61"/>
    <w:rsid w:val="00B44D15"/>
    <w:rsid w:val="00B462C2"/>
    <w:rsid w:val="00B47153"/>
    <w:rsid w:val="00B50FD5"/>
    <w:rsid w:val="00B51A2E"/>
    <w:rsid w:val="00B52E0C"/>
    <w:rsid w:val="00B5344A"/>
    <w:rsid w:val="00B53EAA"/>
    <w:rsid w:val="00B555B3"/>
    <w:rsid w:val="00B5670C"/>
    <w:rsid w:val="00B57736"/>
    <w:rsid w:val="00B60506"/>
    <w:rsid w:val="00B612F0"/>
    <w:rsid w:val="00B61EAD"/>
    <w:rsid w:val="00B62C33"/>
    <w:rsid w:val="00B636C1"/>
    <w:rsid w:val="00B653D4"/>
    <w:rsid w:val="00B65684"/>
    <w:rsid w:val="00B67D09"/>
    <w:rsid w:val="00B67E8F"/>
    <w:rsid w:val="00B714FB"/>
    <w:rsid w:val="00B71832"/>
    <w:rsid w:val="00B72E03"/>
    <w:rsid w:val="00B76F1D"/>
    <w:rsid w:val="00B76F61"/>
    <w:rsid w:val="00B77426"/>
    <w:rsid w:val="00B77EDE"/>
    <w:rsid w:val="00B80ED4"/>
    <w:rsid w:val="00B81FB1"/>
    <w:rsid w:val="00B82198"/>
    <w:rsid w:val="00B838B0"/>
    <w:rsid w:val="00B842EC"/>
    <w:rsid w:val="00B845EC"/>
    <w:rsid w:val="00B84C53"/>
    <w:rsid w:val="00B85C93"/>
    <w:rsid w:val="00B867CE"/>
    <w:rsid w:val="00B87964"/>
    <w:rsid w:val="00B879CC"/>
    <w:rsid w:val="00B92566"/>
    <w:rsid w:val="00B92649"/>
    <w:rsid w:val="00B9645B"/>
    <w:rsid w:val="00B97023"/>
    <w:rsid w:val="00BA272D"/>
    <w:rsid w:val="00BA3A8E"/>
    <w:rsid w:val="00BA551A"/>
    <w:rsid w:val="00BA57FE"/>
    <w:rsid w:val="00BA5F4C"/>
    <w:rsid w:val="00BA667A"/>
    <w:rsid w:val="00BA6C68"/>
    <w:rsid w:val="00BB0B58"/>
    <w:rsid w:val="00BB1797"/>
    <w:rsid w:val="00BB4D6E"/>
    <w:rsid w:val="00BB4EE4"/>
    <w:rsid w:val="00BB53C1"/>
    <w:rsid w:val="00BB583C"/>
    <w:rsid w:val="00BB5A8D"/>
    <w:rsid w:val="00BB6CD5"/>
    <w:rsid w:val="00BB7323"/>
    <w:rsid w:val="00BB75BB"/>
    <w:rsid w:val="00BC08B8"/>
    <w:rsid w:val="00BC2882"/>
    <w:rsid w:val="00BC2D45"/>
    <w:rsid w:val="00BC35DC"/>
    <w:rsid w:val="00BC3E9C"/>
    <w:rsid w:val="00BC4021"/>
    <w:rsid w:val="00BC79D2"/>
    <w:rsid w:val="00BD0E03"/>
    <w:rsid w:val="00BD2100"/>
    <w:rsid w:val="00BD5981"/>
    <w:rsid w:val="00BD6A61"/>
    <w:rsid w:val="00BE0B57"/>
    <w:rsid w:val="00BE0E30"/>
    <w:rsid w:val="00BE2AE1"/>
    <w:rsid w:val="00BE65A1"/>
    <w:rsid w:val="00BF7FF4"/>
    <w:rsid w:val="00C001D9"/>
    <w:rsid w:val="00C006AB"/>
    <w:rsid w:val="00C01102"/>
    <w:rsid w:val="00C01575"/>
    <w:rsid w:val="00C01935"/>
    <w:rsid w:val="00C0385A"/>
    <w:rsid w:val="00C0441B"/>
    <w:rsid w:val="00C04855"/>
    <w:rsid w:val="00C0574A"/>
    <w:rsid w:val="00C0599E"/>
    <w:rsid w:val="00C06845"/>
    <w:rsid w:val="00C070AD"/>
    <w:rsid w:val="00C0728E"/>
    <w:rsid w:val="00C07AF0"/>
    <w:rsid w:val="00C105A5"/>
    <w:rsid w:val="00C128BC"/>
    <w:rsid w:val="00C12F95"/>
    <w:rsid w:val="00C14511"/>
    <w:rsid w:val="00C15211"/>
    <w:rsid w:val="00C17C48"/>
    <w:rsid w:val="00C17E54"/>
    <w:rsid w:val="00C2292C"/>
    <w:rsid w:val="00C22ACC"/>
    <w:rsid w:val="00C2358F"/>
    <w:rsid w:val="00C236F7"/>
    <w:rsid w:val="00C24324"/>
    <w:rsid w:val="00C24370"/>
    <w:rsid w:val="00C26284"/>
    <w:rsid w:val="00C263E7"/>
    <w:rsid w:val="00C30237"/>
    <w:rsid w:val="00C30EAE"/>
    <w:rsid w:val="00C32636"/>
    <w:rsid w:val="00C334CA"/>
    <w:rsid w:val="00C33508"/>
    <w:rsid w:val="00C33C75"/>
    <w:rsid w:val="00C348FF"/>
    <w:rsid w:val="00C375D1"/>
    <w:rsid w:val="00C378B5"/>
    <w:rsid w:val="00C42DFF"/>
    <w:rsid w:val="00C42FE8"/>
    <w:rsid w:val="00C45839"/>
    <w:rsid w:val="00C46C37"/>
    <w:rsid w:val="00C47544"/>
    <w:rsid w:val="00C5455C"/>
    <w:rsid w:val="00C57C4A"/>
    <w:rsid w:val="00C60191"/>
    <w:rsid w:val="00C60AF7"/>
    <w:rsid w:val="00C61653"/>
    <w:rsid w:val="00C61C30"/>
    <w:rsid w:val="00C61E88"/>
    <w:rsid w:val="00C62F17"/>
    <w:rsid w:val="00C632A2"/>
    <w:rsid w:val="00C640B8"/>
    <w:rsid w:val="00C67DF9"/>
    <w:rsid w:val="00C70341"/>
    <w:rsid w:val="00C70D05"/>
    <w:rsid w:val="00C72E76"/>
    <w:rsid w:val="00C72F19"/>
    <w:rsid w:val="00C7349B"/>
    <w:rsid w:val="00C74555"/>
    <w:rsid w:val="00C7487C"/>
    <w:rsid w:val="00C8024C"/>
    <w:rsid w:val="00C8025A"/>
    <w:rsid w:val="00C829E0"/>
    <w:rsid w:val="00C85942"/>
    <w:rsid w:val="00C8680A"/>
    <w:rsid w:val="00C86D2E"/>
    <w:rsid w:val="00C86D39"/>
    <w:rsid w:val="00C90E0F"/>
    <w:rsid w:val="00C915B4"/>
    <w:rsid w:val="00C943BC"/>
    <w:rsid w:val="00C96C9D"/>
    <w:rsid w:val="00C9784E"/>
    <w:rsid w:val="00CA028F"/>
    <w:rsid w:val="00CA0F7B"/>
    <w:rsid w:val="00CA1067"/>
    <w:rsid w:val="00CA6B72"/>
    <w:rsid w:val="00CB13C9"/>
    <w:rsid w:val="00CB144D"/>
    <w:rsid w:val="00CB32E7"/>
    <w:rsid w:val="00CB6C4E"/>
    <w:rsid w:val="00CB7473"/>
    <w:rsid w:val="00CC2098"/>
    <w:rsid w:val="00CC2FE7"/>
    <w:rsid w:val="00CC5F79"/>
    <w:rsid w:val="00CC6521"/>
    <w:rsid w:val="00CC6D31"/>
    <w:rsid w:val="00CC71B9"/>
    <w:rsid w:val="00CD15ED"/>
    <w:rsid w:val="00CD2AB4"/>
    <w:rsid w:val="00CD2B0C"/>
    <w:rsid w:val="00CD33A6"/>
    <w:rsid w:val="00CD33E9"/>
    <w:rsid w:val="00CD4A00"/>
    <w:rsid w:val="00CD522B"/>
    <w:rsid w:val="00CD59C5"/>
    <w:rsid w:val="00CD6D17"/>
    <w:rsid w:val="00CD7EF5"/>
    <w:rsid w:val="00CE0385"/>
    <w:rsid w:val="00CE514E"/>
    <w:rsid w:val="00CE617C"/>
    <w:rsid w:val="00CE642C"/>
    <w:rsid w:val="00CE7364"/>
    <w:rsid w:val="00CF03B8"/>
    <w:rsid w:val="00CF0561"/>
    <w:rsid w:val="00CF0629"/>
    <w:rsid w:val="00CF3310"/>
    <w:rsid w:val="00CF3C26"/>
    <w:rsid w:val="00CF54A9"/>
    <w:rsid w:val="00CF5DAA"/>
    <w:rsid w:val="00CF60BF"/>
    <w:rsid w:val="00CF6D51"/>
    <w:rsid w:val="00CF7394"/>
    <w:rsid w:val="00CF7594"/>
    <w:rsid w:val="00CF7ED0"/>
    <w:rsid w:val="00D003C1"/>
    <w:rsid w:val="00D00509"/>
    <w:rsid w:val="00D01297"/>
    <w:rsid w:val="00D01389"/>
    <w:rsid w:val="00D042F6"/>
    <w:rsid w:val="00D05F47"/>
    <w:rsid w:val="00D06764"/>
    <w:rsid w:val="00D1017F"/>
    <w:rsid w:val="00D126BC"/>
    <w:rsid w:val="00D13385"/>
    <w:rsid w:val="00D13F80"/>
    <w:rsid w:val="00D155DA"/>
    <w:rsid w:val="00D16090"/>
    <w:rsid w:val="00D164C8"/>
    <w:rsid w:val="00D16628"/>
    <w:rsid w:val="00D17863"/>
    <w:rsid w:val="00D20242"/>
    <w:rsid w:val="00D217AA"/>
    <w:rsid w:val="00D2185E"/>
    <w:rsid w:val="00D227EB"/>
    <w:rsid w:val="00D229C6"/>
    <w:rsid w:val="00D22D8B"/>
    <w:rsid w:val="00D23723"/>
    <w:rsid w:val="00D23D57"/>
    <w:rsid w:val="00D23F86"/>
    <w:rsid w:val="00D24597"/>
    <w:rsid w:val="00D24FA0"/>
    <w:rsid w:val="00D261FA"/>
    <w:rsid w:val="00D2658E"/>
    <w:rsid w:val="00D26836"/>
    <w:rsid w:val="00D276EE"/>
    <w:rsid w:val="00D27BC7"/>
    <w:rsid w:val="00D31145"/>
    <w:rsid w:val="00D33011"/>
    <w:rsid w:val="00D335F5"/>
    <w:rsid w:val="00D33F34"/>
    <w:rsid w:val="00D34281"/>
    <w:rsid w:val="00D34B59"/>
    <w:rsid w:val="00D35063"/>
    <w:rsid w:val="00D376BE"/>
    <w:rsid w:val="00D40155"/>
    <w:rsid w:val="00D439E7"/>
    <w:rsid w:val="00D43B6A"/>
    <w:rsid w:val="00D43B88"/>
    <w:rsid w:val="00D457D5"/>
    <w:rsid w:val="00D459D7"/>
    <w:rsid w:val="00D47974"/>
    <w:rsid w:val="00D47CF6"/>
    <w:rsid w:val="00D51827"/>
    <w:rsid w:val="00D5213D"/>
    <w:rsid w:val="00D52679"/>
    <w:rsid w:val="00D53F2C"/>
    <w:rsid w:val="00D5528D"/>
    <w:rsid w:val="00D57208"/>
    <w:rsid w:val="00D57985"/>
    <w:rsid w:val="00D654CD"/>
    <w:rsid w:val="00D6671F"/>
    <w:rsid w:val="00D7074A"/>
    <w:rsid w:val="00D70995"/>
    <w:rsid w:val="00D71363"/>
    <w:rsid w:val="00D71BEE"/>
    <w:rsid w:val="00D73769"/>
    <w:rsid w:val="00D76066"/>
    <w:rsid w:val="00D76ACB"/>
    <w:rsid w:val="00D76F2F"/>
    <w:rsid w:val="00D77007"/>
    <w:rsid w:val="00D809C4"/>
    <w:rsid w:val="00D839D7"/>
    <w:rsid w:val="00D85896"/>
    <w:rsid w:val="00D86308"/>
    <w:rsid w:val="00D866C4"/>
    <w:rsid w:val="00D870C2"/>
    <w:rsid w:val="00D8730F"/>
    <w:rsid w:val="00D903B5"/>
    <w:rsid w:val="00D913FB"/>
    <w:rsid w:val="00D930DC"/>
    <w:rsid w:val="00D94CD5"/>
    <w:rsid w:val="00D94D07"/>
    <w:rsid w:val="00D94F5A"/>
    <w:rsid w:val="00D968E5"/>
    <w:rsid w:val="00DA0818"/>
    <w:rsid w:val="00DA152E"/>
    <w:rsid w:val="00DA2A94"/>
    <w:rsid w:val="00DA31E4"/>
    <w:rsid w:val="00DA42F3"/>
    <w:rsid w:val="00DA667A"/>
    <w:rsid w:val="00DA6BF8"/>
    <w:rsid w:val="00DA7239"/>
    <w:rsid w:val="00DA7326"/>
    <w:rsid w:val="00DB009F"/>
    <w:rsid w:val="00DB2482"/>
    <w:rsid w:val="00DB45BC"/>
    <w:rsid w:val="00DB5175"/>
    <w:rsid w:val="00DB6549"/>
    <w:rsid w:val="00DB68EB"/>
    <w:rsid w:val="00DC45C1"/>
    <w:rsid w:val="00DC580E"/>
    <w:rsid w:val="00DC70D7"/>
    <w:rsid w:val="00DD0434"/>
    <w:rsid w:val="00DD0A6F"/>
    <w:rsid w:val="00DD12B5"/>
    <w:rsid w:val="00DD1DA3"/>
    <w:rsid w:val="00DD1EBD"/>
    <w:rsid w:val="00DD5614"/>
    <w:rsid w:val="00DD5CBD"/>
    <w:rsid w:val="00DD5E8F"/>
    <w:rsid w:val="00DD6620"/>
    <w:rsid w:val="00DD7A5F"/>
    <w:rsid w:val="00DE12C4"/>
    <w:rsid w:val="00DE52CF"/>
    <w:rsid w:val="00DE77FB"/>
    <w:rsid w:val="00DE7D2C"/>
    <w:rsid w:val="00DF0D56"/>
    <w:rsid w:val="00DF56D2"/>
    <w:rsid w:val="00DF5AC6"/>
    <w:rsid w:val="00DF6167"/>
    <w:rsid w:val="00DF642B"/>
    <w:rsid w:val="00DF70C2"/>
    <w:rsid w:val="00DF7DFE"/>
    <w:rsid w:val="00E00021"/>
    <w:rsid w:val="00E02491"/>
    <w:rsid w:val="00E02627"/>
    <w:rsid w:val="00E04585"/>
    <w:rsid w:val="00E05D7D"/>
    <w:rsid w:val="00E065E6"/>
    <w:rsid w:val="00E07A37"/>
    <w:rsid w:val="00E109D3"/>
    <w:rsid w:val="00E113D6"/>
    <w:rsid w:val="00E11E66"/>
    <w:rsid w:val="00E12577"/>
    <w:rsid w:val="00E13271"/>
    <w:rsid w:val="00E13707"/>
    <w:rsid w:val="00E14A48"/>
    <w:rsid w:val="00E1524B"/>
    <w:rsid w:val="00E16A1E"/>
    <w:rsid w:val="00E205DE"/>
    <w:rsid w:val="00E21006"/>
    <w:rsid w:val="00E21869"/>
    <w:rsid w:val="00E232C9"/>
    <w:rsid w:val="00E2485B"/>
    <w:rsid w:val="00E260A2"/>
    <w:rsid w:val="00E2692B"/>
    <w:rsid w:val="00E277B2"/>
    <w:rsid w:val="00E3081E"/>
    <w:rsid w:val="00E31A17"/>
    <w:rsid w:val="00E32551"/>
    <w:rsid w:val="00E335E9"/>
    <w:rsid w:val="00E341D8"/>
    <w:rsid w:val="00E35A50"/>
    <w:rsid w:val="00E36065"/>
    <w:rsid w:val="00E3670A"/>
    <w:rsid w:val="00E36CC6"/>
    <w:rsid w:val="00E36E17"/>
    <w:rsid w:val="00E41E6E"/>
    <w:rsid w:val="00E42BED"/>
    <w:rsid w:val="00E4494E"/>
    <w:rsid w:val="00E472DC"/>
    <w:rsid w:val="00E518AB"/>
    <w:rsid w:val="00E529EB"/>
    <w:rsid w:val="00E52E5C"/>
    <w:rsid w:val="00E5338B"/>
    <w:rsid w:val="00E537C1"/>
    <w:rsid w:val="00E54130"/>
    <w:rsid w:val="00E54B87"/>
    <w:rsid w:val="00E54E7C"/>
    <w:rsid w:val="00E55E82"/>
    <w:rsid w:val="00E562D7"/>
    <w:rsid w:val="00E565E3"/>
    <w:rsid w:val="00E57BBE"/>
    <w:rsid w:val="00E57D59"/>
    <w:rsid w:val="00E60AC3"/>
    <w:rsid w:val="00E60F2D"/>
    <w:rsid w:val="00E61BC3"/>
    <w:rsid w:val="00E6360E"/>
    <w:rsid w:val="00E63746"/>
    <w:rsid w:val="00E63920"/>
    <w:rsid w:val="00E63FE0"/>
    <w:rsid w:val="00E64536"/>
    <w:rsid w:val="00E653FE"/>
    <w:rsid w:val="00E675EB"/>
    <w:rsid w:val="00E6778D"/>
    <w:rsid w:val="00E71057"/>
    <w:rsid w:val="00E71DB6"/>
    <w:rsid w:val="00E72884"/>
    <w:rsid w:val="00E72FDB"/>
    <w:rsid w:val="00E74DA4"/>
    <w:rsid w:val="00E75094"/>
    <w:rsid w:val="00E75537"/>
    <w:rsid w:val="00E76BC4"/>
    <w:rsid w:val="00E847EB"/>
    <w:rsid w:val="00E84824"/>
    <w:rsid w:val="00E951C4"/>
    <w:rsid w:val="00E95DB7"/>
    <w:rsid w:val="00E96B81"/>
    <w:rsid w:val="00E97DA5"/>
    <w:rsid w:val="00EA01C3"/>
    <w:rsid w:val="00EA1739"/>
    <w:rsid w:val="00EA573C"/>
    <w:rsid w:val="00EA603D"/>
    <w:rsid w:val="00EA632E"/>
    <w:rsid w:val="00EA6466"/>
    <w:rsid w:val="00EA71E8"/>
    <w:rsid w:val="00EB38C4"/>
    <w:rsid w:val="00EB3DA8"/>
    <w:rsid w:val="00EB3E72"/>
    <w:rsid w:val="00EB6652"/>
    <w:rsid w:val="00EB6731"/>
    <w:rsid w:val="00EB7ECF"/>
    <w:rsid w:val="00EC1AF8"/>
    <w:rsid w:val="00EC1E61"/>
    <w:rsid w:val="00EC5D06"/>
    <w:rsid w:val="00EC5F4F"/>
    <w:rsid w:val="00EC64E7"/>
    <w:rsid w:val="00EC7EF0"/>
    <w:rsid w:val="00ED0269"/>
    <w:rsid w:val="00ED11C4"/>
    <w:rsid w:val="00ED5DE7"/>
    <w:rsid w:val="00EE2114"/>
    <w:rsid w:val="00EE40FC"/>
    <w:rsid w:val="00EE59E2"/>
    <w:rsid w:val="00EF124E"/>
    <w:rsid w:val="00EF1E99"/>
    <w:rsid w:val="00EF33F8"/>
    <w:rsid w:val="00EF52DE"/>
    <w:rsid w:val="00EF6FB3"/>
    <w:rsid w:val="00EF7E1E"/>
    <w:rsid w:val="00F01281"/>
    <w:rsid w:val="00F02939"/>
    <w:rsid w:val="00F02B26"/>
    <w:rsid w:val="00F04827"/>
    <w:rsid w:val="00F05F25"/>
    <w:rsid w:val="00F062AB"/>
    <w:rsid w:val="00F1138A"/>
    <w:rsid w:val="00F1349F"/>
    <w:rsid w:val="00F156E4"/>
    <w:rsid w:val="00F15C6F"/>
    <w:rsid w:val="00F16528"/>
    <w:rsid w:val="00F17514"/>
    <w:rsid w:val="00F21048"/>
    <w:rsid w:val="00F21C61"/>
    <w:rsid w:val="00F220CB"/>
    <w:rsid w:val="00F248A6"/>
    <w:rsid w:val="00F260DB"/>
    <w:rsid w:val="00F27AB9"/>
    <w:rsid w:val="00F27CB2"/>
    <w:rsid w:val="00F3061B"/>
    <w:rsid w:val="00F317FC"/>
    <w:rsid w:val="00F31886"/>
    <w:rsid w:val="00F318B4"/>
    <w:rsid w:val="00F31C3D"/>
    <w:rsid w:val="00F31F78"/>
    <w:rsid w:val="00F324EA"/>
    <w:rsid w:val="00F32AF0"/>
    <w:rsid w:val="00F33078"/>
    <w:rsid w:val="00F34FDA"/>
    <w:rsid w:val="00F362A4"/>
    <w:rsid w:val="00F36CCF"/>
    <w:rsid w:val="00F36DBF"/>
    <w:rsid w:val="00F430C6"/>
    <w:rsid w:val="00F43372"/>
    <w:rsid w:val="00F43DFA"/>
    <w:rsid w:val="00F44274"/>
    <w:rsid w:val="00F47B33"/>
    <w:rsid w:val="00F51230"/>
    <w:rsid w:val="00F52BD4"/>
    <w:rsid w:val="00F52E0D"/>
    <w:rsid w:val="00F550A1"/>
    <w:rsid w:val="00F551D0"/>
    <w:rsid w:val="00F56C5A"/>
    <w:rsid w:val="00F60A1D"/>
    <w:rsid w:val="00F611F0"/>
    <w:rsid w:val="00F63F0A"/>
    <w:rsid w:val="00F64A2B"/>
    <w:rsid w:val="00F64F2E"/>
    <w:rsid w:val="00F653EF"/>
    <w:rsid w:val="00F65C9A"/>
    <w:rsid w:val="00F66A4C"/>
    <w:rsid w:val="00F70628"/>
    <w:rsid w:val="00F706C2"/>
    <w:rsid w:val="00F7162F"/>
    <w:rsid w:val="00F71907"/>
    <w:rsid w:val="00F71E5C"/>
    <w:rsid w:val="00F73733"/>
    <w:rsid w:val="00F748CC"/>
    <w:rsid w:val="00F757B2"/>
    <w:rsid w:val="00F76FF4"/>
    <w:rsid w:val="00F77121"/>
    <w:rsid w:val="00F77239"/>
    <w:rsid w:val="00F77EE2"/>
    <w:rsid w:val="00F82A65"/>
    <w:rsid w:val="00F82DA9"/>
    <w:rsid w:val="00F82EBB"/>
    <w:rsid w:val="00F833A6"/>
    <w:rsid w:val="00F83938"/>
    <w:rsid w:val="00F84418"/>
    <w:rsid w:val="00F84760"/>
    <w:rsid w:val="00F854B9"/>
    <w:rsid w:val="00F86EA8"/>
    <w:rsid w:val="00F87A82"/>
    <w:rsid w:val="00F9001E"/>
    <w:rsid w:val="00F920CF"/>
    <w:rsid w:val="00F935F9"/>
    <w:rsid w:val="00F971D8"/>
    <w:rsid w:val="00FA110A"/>
    <w:rsid w:val="00FA177E"/>
    <w:rsid w:val="00FA179F"/>
    <w:rsid w:val="00FA2183"/>
    <w:rsid w:val="00FA349D"/>
    <w:rsid w:val="00FA4378"/>
    <w:rsid w:val="00FA4A57"/>
    <w:rsid w:val="00FA4BDD"/>
    <w:rsid w:val="00FA5B2F"/>
    <w:rsid w:val="00FA6A17"/>
    <w:rsid w:val="00FA6C16"/>
    <w:rsid w:val="00FA75AA"/>
    <w:rsid w:val="00FA7D33"/>
    <w:rsid w:val="00FB1EEE"/>
    <w:rsid w:val="00FB5E72"/>
    <w:rsid w:val="00FB6501"/>
    <w:rsid w:val="00FB656A"/>
    <w:rsid w:val="00FB71C4"/>
    <w:rsid w:val="00FB7418"/>
    <w:rsid w:val="00FB7E57"/>
    <w:rsid w:val="00FC3236"/>
    <w:rsid w:val="00FC3975"/>
    <w:rsid w:val="00FC5D6A"/>
    <w:rsid w:val="00FD04B3"/>
    <w:rsid w:val="00FD12A2"/>
    <w:rsid w:val="00FD1672"/>
    <w:rsid w:val="00FD2A16"/>
    <w:rsid w:val="00FD2D30"/>
    <w:rsid w:val="00FD3BC8"/>
    <w:rsid w:val="00FD3EF7"/>
    <w:rsid w:val="00FD4E06"/>
    <w:rsid w:val="00FD5698"/>
    <w:rsid w:val="00FD64D2"/>
    <w:rsid w:val="00FE0C74"/>
    <w:rsid w:val="00FE1780"/>
    <w:rsid w:val="00FE1D6A"/>
    <w:rsid w:val="00FE24F9"/>
    <w:rsid w:val="00FE415C"/>
    <w:rsid w:val="00FE47CE"/>
    <w:rsid w:val="00FE4D4E"/>
    <w:rsid w:val="00FE50FB"/>
    <w:rsid w:val="00FE5707"/>
    <w:rsid w:val="00FE6A67"/>
    <w:rsid w:val="00FF0428"/>
    <w:rsid w:val="00FF04E3"/>
    <w:rsid w:val="00FF1B22"/>
    <w:rsid w:val="00FF490C"/>
    <w:rsid w:val="00FF5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F4B3E"/>
  <w15:chartTrackingRefBased/>
  <w15:docId w15:val="{D6E387EE-EC2C-49B1-8B5A-4E865DAE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5C"/>
    <w:rPr>
      <w:rFonts w:ascii="Times New Roman" w:eastAsia="Times New Roman" w:hAnsi="Times New Roman"/>
      <w:sz w:val="24"/>
      <w:szCs w:val="24"/>
    </w:rPr>
  </w:style>
  <w:style w:type="paragraph" w:styleId="Ttulo1">
    <w:name w:val="heading 1"/>
    <w:basedOn w:val="Normal"/>
    <w:next w:val="Normal"/>
    <w:link w:val="Ttulo1Car"/>
    <w:qFormat/>
    <w:rsid w:val="00F71E5C"/>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link w:val="Ttulo2Car"/>
    <w:qFormat/>
    <w:rsid w:val="00F71E5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71E5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71E5C"/>
    <w:pPr>
      <w:keepNext/>
      <w:spacing w:before="240" w:after="60"/>
      <w:outlineLvl w:val="3"/>
    </w:pPr>
    <w:rPr>
      <w:b/>
      <w:bCs/>
      <w:sz w:val="28"/>
      <w:szCs w:val="28"/>
    </w:rPr>
  </w:style>
  <w:style w:type="paragraph" w:styleId="Ttulo5">
    <w:name w:val="heading 5"/>
    <w:basedOn w:val="Normal"/>
    <w:next w:val="Normal"/>
    <w:link w:val="Ttulo5Car"/>
    <w:qFormat/>
    <w:rsid w:val="00F71E5C"/>
    <w:pPr>
      <w:keepNext/>
      <w:outlineLvl w:val="4"/>
    </w:pPr>
    <w:rPr>
      <w:rFonts w:ascii="Arial" w:hAnsi="Arial"/>
      <w:b/>
      <w:color w:val="000080"/>
      <w:sz w:val="14"/>
      <w:szCs w:val="20"/>
      <w:lang w:val="es-ES" w:eastAsia="es-ES"/>
    </w:rPr>
  </w:style>
  <w:style w:type="paragraph" w:styleId="Ttulo6">
    <w:name w:val="heading 6"/>
    <w:basedOn w:val="Normal"/>
    <w:next w:val="Normal"/>
    <w:link w:val="Ttulo6Car"/>
    <w:qFormat/>
    <w:rsid w:val="00F71E5C"/>
    <w:pPr>
      <w:keepNext/>
      <w:outlineLvl w:val="5"/>
    </w:pPr>
    <w:rPr>
      <w:rFonts w:ascii="Arial" w:hAnsi="Arial"/>
      <w:b/>
      <w:color w:val="000080"/>
      <w:sz w:val="12"/>
      <w:szCs w:val="20"/>
      <w:lang w:val="es-ES" w:eastAsia="es-ES"/>
    </w:rPr>
  </w:style>
  <w:style w:type="paragraph" w:styleId="Ttulo7">
    <w:name w:val="heading 7"/>
    <w:basedOn w:val="Normal"/>
    <w:next w:val="Normal"/>
    <w:link w:val="Ttulo7Car"/>
    <w:qFormat/>
    <w:rsid w:val="00F71E5C"/>
    <w:pPr>
      <w:keepNext/>
      <w:spacing w:after="60"/>
      <w:jc w:val="center"/>
      <w:outlineLvl w:val="6"/>
    </w:pPr>
    <w:rPr>
      <w:rFonts w:ascii="Arial" w:hAnsi="Arial" w:cs="Arial"/>
      <w:b/>
      <w:bCs/>
      <w:sz w:val="20"/>
      <w:lang w:val="es-ES" w:eastAsia="es-ES"/>
    </w:rPr>
  </w:style>
  <w:style w:type="paragraph" w:styleId="Ttulo8">
    <w:name w:val="heading 8"/>
    <w:basedOn w:val="Normal"/>
    <w:next w:val="Normal"/>
    <w:link w:val="Ttulo8Car"/>
    <w:qFormat/>
    <w:rsid w:val="00F71E5C"/>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link w:val="Ttulo9Car"/>
    <w:qFormat/>
    <w:rsid w:val="00F71E5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1E5C"/>
    <w:rPr>
      <w:rFonts w:ascii="Arial" w:eastAsia="Times New Roman" w:hAnsi="Arial" w:cs="Times New Roman"/>
      <w:b/>
      <w:spacing w:val="-3"/>
      <w:sz w:val="20"/>
      <w:szCs w:val="20"/>
      <w:lang w:eastAsia="es-ES"/>
    </w:rPr>
  </w:style>
  <w:style w:type="character" w:customStyle="1" w:styleId="Ttulo2Car">
    <w:name w:val="Título 2 Car"/>
    <w:link w:val="Ttulo2"/>
    <w:rsid w:val="00F71E5C"/>
    <w:rPr>
      <w:rFonts w:ascii="Arial" w:eastAsia="Times New Roman" w:hAnsi="Arial" w:cs="Arial"/>
      <w:b/>
      <w:bCs/>
      <w:i/>
      <w:iCs/>
      <w:sz w:val="28"/>
      <w:szCs w:val="28"/>
      <w:lang w:eastAsia="es-MX"/>
    </w:rPr>
  </w:style>
  <w:style w:type="character" w:customStyle="1" w:styleId="Ttulo3Car">
    <w:name w:val="Título 3 Car"/>
    <w:link w:val="Ttulo3"/>
    <w:rsid w:val="00F71E5C"/>
    <w:rPr>
      <w:rFonts w:ascii="Arial" w:eastAsia="Times New Roman" w:hAnsi="Arial" w:cs="Arial"/>
      <w:b/>
      <w:bCs/>
      <w:sz w:val="26"/>
      <w:szCs w:val="26"/>
      <w:lang w:eastAsia="es-MX"/>
    </w:rPr>
  </w:style>
  <w:style w:type="character" w:customStyle="1" w:styleId="Ttulo4Car">
    <w:name w:val="Título 4 Car"/>
    <w:link w:val="Ttulo4"/>
    <w:rsid w:val="00F71E5C"/>
    <w:rPr>
      <w:rFonts w:ascii="Times New Roman" w:eastAsia="Times New Roman" w:hAnsi="Times New Roman" w:cs="Times New Roman"/>
      <w:b/>
      <w:bCs/>
      <w:sz w:val="28"/>
      <w:szCs w:val="28"/>
      <w:lang w:eastAsia="es-MX"/>
    </w:rPr>
  </w:style>
  <w:style w:type="character" w:customStyle="1" w:styleId="Ttulo5Car">
    <w:name w:val="Título 5 Car"/>
    <w:link w:val="Ttulo5"/>
    <w:rsid w:val="00F71E5C"/>
    <w:rPr>
      <w:rFonts w:ascii="Arial" w:eastAsia="Times New Roman" w:hAnsi="Arial" w:cs="Times New Roman"/>
      <w:b/>
      <w:color w:val="000080"/>
      <w:sz w:val="14"/>
      <w:szCs w:val="20"/>
      <w:lang w:val="es-ES" w:eastAsia="es-ES"/>
    </w:rPr>
  </w:style>
  <w:style w:type="character" w:customStyle="1" w:styleId="Ttulo6Car">
    <w:name w:val="Título 6 Car"/>
    <w:link w:val="Ttulo6"/>
    <w:rsid w:val="00F71E5C"/>
    <w:rPr>
      <w:rFonts w:ascii="Arial" w:eastAsia="Times New Roman" w:hAnsi="Arial" w:cs="Times New Roman"/>
      <w:b/>
      <w:color w:val="000080"/>
      <w:sz w:val="12"/>
      <w:szCs w:val="20"/>
      <w:lang w:val="es-ES" w:eastAsia="es-ES"/>
    </w:rPr>
  </w:style>
  <w:style w:type="character" w:customStyle="1" w:styleId="Ttulo7Car">
    <w:name w:val="Título 7 Car"/>
    <w:link w:val="Ttulo7"/>
    <w:rsid w:val="00F71E5C"/>
    <w:rPr>
      <w:rFonts w:ascii="Arial" w:eastAsia="Times New Roman" w:hAnsi="Arial" w:cs="Arial"/>
      <w:b/>
      <w:bCs/>
      <w:sz w:val="20"/>
      <w:szCs w:val="24"/>
      <w:lang w:val="es-ES" w:eastAsia="es-ES"/>
    </w:rPr>
  </w:style>
  <w:style w:type="character" w:customStyle="1" w:styleId="Ttulo8Car">
    <w:name w:val="Título 8 Car"/>
    <w:link w:val="Ttulo8"/>
    <w:rsid w:val="00F71E5C"/>
    <w:rPr>
      <w:rFonts w:ascii="Arial" w:eastAsia="Times New Roman" w:hAnsi="Arial" w:cs="Arial"/>
      <w:b/>
      <w:bCs/>
      <w:sz w:val="16"/>
      <w:szCs w:val="24"/>
      <w:lang w:val="es-ES" w:eastAsia="es-ES"/>
    </w:rPr>
  </w:style>
  <w:style w:type="character" w:customStyle="1" w:styleId="Ttulo9Car">
    <w:name w:val="Título 9 Car"/>
    <w:link w:val="Ttulo9"/>
    <w:rsid w:val="00F71E5C"/>
    <w:rPr>
      <w:rFonts w:ascii="Arial" w:eastAsia="Times New Roman" w:hAnsi="Arial" w:cs="Arial"/>
      <w:lang w:eastAsia="es-MX"/>
    </w:rPr>
  </w:style>
  <w:style w:type="paragraph" w:styleId="Encabezado">
    <w:name w:val="header"/>
    <w:basedOn w:val="Normal"/>
    <w:link w:val="EncabezadoCar"/>
    <w:rsid w:val="00F71E5C"/>
    <w:pPr>
      <w:tabs>
        <w:tab w:val="center" w:pos="4419"/>
        <w:tab w:val="right" w:pos="8838"/>
      </w:tabs>
    </w:pPr>
  </w:style>
  <w:style w:type="character" w:customStyle="1" w:styleId="EncabezadoCar">
    <w:name w:val="Encabezado Car"/>
    <w:link w:val="Encabezado"/>
    <w:rsid w:val="00F71E5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F71E5C"/>
    <w:pPr>
      <w:tabs>
        <w:tab w:val="center" w:pos="4419"/>
        <w:tab w:val="right" w:pos="8838"/>
      </w:tabs>
    </w:pPr>
  </w:style>
  <w:style w:type="character" w:customStyle="1" w:styleId="PiedepginaCar">
    <w:name w:val="Pie de página Car"/>
    <w:link w:val="Piedepgina"/>
    <w:uiPriority w:val="99"/>
    <w:rsid w:val="00F71E5C"/>
    <w:rPr>
      <w:rFonts w:ascii="Times New Roman" w:eastAsia="Times New Roman" w:hAnsi="Times New Roman" w:cs="Times New Roman"/>
      <w:sz w:val="24"/>
      <w:szCs w:val="24"/>
      <w:lang w:eastAsia="es-MX"/>
    </w:rPr>
  </w:style>
  <w:style w:type="character" w:styleId="Nmerodepgina">
    <w:name w:val="page number"/>
    <w:basedOn w:val="Fuentedeprrafopredeter"/>
    <w:rsid w:val="00F71E5C"/>
  </w:style>
  <w:style w:type="paragraph" w:styleId="Textoindependiente">
    <w:name w:val="Body Text"/>
    <w:basedOn w:val="Normal"/>
    <w:link w:val="TextoindependienteCar"/>
    <w:rsid w:val="00F71E5C"/>
    <w:pPr>
      <w:suppressAutoHyphens/>
      <w:spacing w:before="200" w:line="320" w:lineRule="atLeast"/>
      <w:jc w:val="both"/>
    </w:pPr>
    <w:rPr>
      <w:rFonts w:ascii="Arial" w:hAnsi="Arial"/>
      <w:sz w:val="22"/>
      <w:szCs w:val="20"/>
      <w:lang w:eastAsia="es-ES"/>
    </w:rPr>
  </w:style>
  <w:style w:type="character" w:customStyle="1" w:styleId="TextoindependienteCar">
    <w:name w:val="Texto independiente Car"/>
    <w:link w:val="Textoindependiente"/>
    <w:rsid w:val="00F71E5C"/>
    <w:rPr>
      <w:rFonts w:ascii="Arial" w:eastAsia="Times New Roman" w:hAnsi="Arial" w:cs="Times New Roman"/>
      <w:szCs w:val="20"/>
      <w:lang w:eastAsia="es-ES"/>
    </w:rPr>
  </w:style>
  <w:style w:type="paragraph" w:styleId="Textoindependiente2">
    <w:name w:val="Body Text 2"/>
    <w:basedOn w:val="Normal"/>
    <w:link w:val="Textoindependiente2Car"/>
    <w:uiPriority w:val="99"/>
    <w:rsid w:val="00F71E5C"/>
    <w:pPr>
      <w:jc w:val="both"/>
    </w:pPr>
    <w:rPr>
      <w:rFonts w:ascii="Arial" w:hAnsi="Arial"/>
      <w:sz w:val="20"/>
      <w:szCs w:val="20"/>
      <w:lang w:val="es-ES" w:eastAsia="es-ES"/>
    </w:rPr>
  </w:style>
  <w:style w:type="character" w:customStyle="1" w:styleId="Textoindependiente2Car">
    <w:name w:val="Texto independiente 2 Car"/>
    <w:link w:val="Textoindependiente2"/>
    <w:uiPriority w:val="99"/>
    <w:rsid w:val="00F71E5C"/>
    <w:rPr>
      <w:rFonts w:ascii="Arial" w:eastAsia="Times New Roman" w:hAnsi="Arial" w:cs="Times New Roman"/>
      <w:sz w:val="20"/>
      <w:szCs w:val="20"/>
      <w:lang w:val="es-ES" w:eastAsia="es-ES"/>
    </w:rPr>
  </w:style>
  <w:style w:type="paragraph" w:customStyle="1" w:styleId="E01-IIIIII">
    <w:name w:val="E01 - I  II  III"/>
    <w:rsid w:val="00F71E5C"/>
    <w:pPr>
      <w:keepLines/>
      <w:widowControl w:val="0"/>
      <w:tabs>
        <w:tab w:val="left" w:pos="454"/>
      </w:tabs>
      <w:ind w:left="454" w:hanging="454"/>
      <w:outlineLvl w:val="0"/>
    </w:pPr>
    <w:rPr>
      <w:rFonts w:ascii="Arial" w:eastAsia="Times New Roman" w:hAnsi="Arial"/>
      <w:b/>
      <w:color w:val="000000"/>
      <w:bdr w:val="single" w:sz="4" w:space="0" w:color="auto"/>
      <w:shd w:val="pct25" w:color="auto" w:fill="auto"/>
      <w:lang w:val="es-ES" w:eastAsia="es-ES"/>
    </w:rPr>
  </w:style>
  <w:style w:type="paragraph" w:styleId="Textoindependiente3">
    <w:name w:val="Body Text 3"/>
    <w:basedOn w:val="Normal"/>
    <w:link w:val="Textoindependiente3Car"/>
    <w:rsid w:val="00F71E5C"/>
    <w:pPr>
      <w:spacing w:after="120"/>
    </w:pPr>
    <w:rPr>
      <w:sz w:val="16"/>
      <w:szCs w:val="16"/>
    </w:rPr>
  </w:style>
  <w:style w:type="character" w:customStyle="1" w:styleId="Textoindependiente3Car">
    <w:name w:val="Texto independiente 3 Car"/>
    <w:link w:val="Textoindependiente3"/>
    <w:rsid w:val="00F71E5C"/>
    <w:rPr>
      <w:rFonts w:ascii="Times New Roman" w:eastAsia="Times New Roman" w:hAnsi="Times New Roman" w:cs="Times New Roman"/>
      <w:sz w:val="16"/>
      <w:szCs w:val="16"/>
      <w:lang w:eastAsia="es-MX"/>
    </w:rPr>
  </w:style>
  <w:style w:type="paragraph" w:customStyle="1" w:styleId="xl15">
    <w:name w:val="xl15"/>
    <w:basedOn w:val="Normal"/>
    <w:rsid w:val="00F71E5C"/>
    <w:pPr>
      <w:spacing w:before="100" w:after="100"/>
      <w:textAlignment w:val="bottom"/>
    </w:pPr>
    <w:rPr>
      <w:rFonts w:ascii="Arial" w:hAnsi="Arial"/>
      <w:sz w:val="20"/>
      <w:szCs w:val="20"/>
      <w:lang w:val="es-ES" w:eastAsia="es-ES"/>
    </w:rPr>
  </w:style>
  <w:style w:type="paragraph" w:customStyle="1" w:styleId="bala11pts">
    <w:name w:val="bala/11 pts"/>
    <w:basedOn w:val="Normal"/>
    <w:rsid w:val="00F71E5C"/>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link w:val="SubttuloCar"/>
    <w:qFormat/>
    <w:rsid w:val="00F71E5C"/>
    <w:pPr>
      <w:keepLines/>
      <w:widowControl w:val="0"/>
      <w:jc w:val="center"/>
    </w:pPr>
    <w:rPr>
      <w:rFonts w:ascii="Arial" w:hAnsi="Arial"/>
      <w:b/>
      <w:sz w:val="20"/>
      <w:lang w:eastAsia="es-ES"/>
    </w:rPr>
  </w:style>
  <w:style w:type="character" w:customStyle="1" w:styleId="SubttuloCar">
    <w:name w:val="Subtítulo Car"/>
    <w:link w:val="Subttulo"/>
    <w:rsid w:val="00F71E5C"/>
    <w:rPr>
      <w:rFonts w:ascii="Arial" w:eastAsia="Times New Roman" w:hAnsi="Arial" w:cs="Times New Roman"/>
      <w:b/>
      <w:sz w:val="20"/>
      <w:szCs w:val="24"/>
      <w:lang w:eastAsia="es-ES"/>
    </w:rPr>
  </w:style>
  <w:style w:type="paragraph" w:customStyle="1" w:styleId="6">
    <w:name w:val="6"/>
    <w:basedOn w:val="Normal"/>
    <w:next w:val="Ttulo"/>
    <w:link w:val="PuestoCar"/>
    <w:qFormat/>
    <w:rsid w:val="00F71E5C"/>
    <w:pPr>
      <w:jc w:val="center"/>
    </w:pPr>
    <w:rPr>
      <w:rFonts w:ascii="Arial" w:hAnsi="Arial"/>
      <w:b/>
      <w:sz w:val="20"/>
      <w:szCs w:val="20"/>
      <w:lang w:eastAsia="es-ES"/>
    </w:rPr>
  </w:style>
  <w:style w:type="character" w:customStyle="1" w:styleId="PuestoCar">
    <w:name w:val="Puesto Car"/>
    <w:link w:val="6"/>
    <w:rsid w:val="00F71E5C"/>
    <w:rPr>
      <w:rFonts w:ascii="Arial" w:eastAsia="Times New Roman" w:hAnsi="Arial" w:cs="Times New Roman"/>
      <w:b/>
      <w:sz w:val="20"/>
      <w:szCs w:val="20"/>
      <w:lang w:eastAsia="es-ES"/>
    </w:rPr>
  </w:style>
  <w:style w:type="paragraph" w:customStyle="1" w:styleId="PARRAFO-SIN">
    <w:name w:val="PARRAFO-SIN"/>
    <w:basedOn w:val="Normal"/>
    <w:rsid w:val="00F71E5C"/>
    <w:pPr>
      <w:spacing w:before="60" w:line="300" w:lineRule="exact"/>
      <w:jc w:val="both"/>
    </w:pPr>
    <w:rPr>
      <w:sz w:val="22"/>
      <w:szCs w:val="20"/>
      <w:lang w:eastAsia="es-ES"/>
    </w:rPr>
  </w:style>
  <w:style w:type="paragraph" w:customStyle="1" w:styleId="5">
    <w:name w:val="5"/>
    <w:basedOn w:val="Normal"/>
    <w:next w:val="Sangradetextonormal"/>
    <w:rsid w:val="00F71E5C"/>
    <w:pPr>
      <w:ind w:left="567"/>
      <w:jc w:val="both"/>
    </w:pPr>
    <w:rPr>
      <w:rFonts w:ascii="Arial" w:hAnsi="Arial"/>
      <w:sz w:val="20"/>
      <w:lang w:val="es-ES" w:eastAsia="es-ES"/>
    </w:rPr>
  </w:style>
  <w:style w:type="paragraph" w:styleId="Sangradetextonormal">
    <w:name w:val="Body Text Indent"/>
    <w:basedOn w:val="Normal"/>
    <w:link w:val="SangradetextonormalCar"/>
    <w:rsid w:val="00F71E5C"/>
    <w:pPr>
      <w:spacing w:after="120"/>
      <w:ind w:left="283"/>
    </w:pPr>
  </w:style>
  <w:style w:type="character" w:customStyle="1" w:styleId="SangradetextonormalCar">
    <w:name w:val="Sangría de texto normal Car"/>
    <w:link w:val="Sangradetextonormal"/>
    <w:rsid w:val="00F71E5C"/>
    <w:rPr>
      <w:rFonts w:ascii="Times New Roman" w:eastAsia="Times New Roman" w:hAnsi="Times New Roman" w:cs="Times New Roman"/>
      <w:sz w:val="24"/>
      <w:szCs w:val="24"/>
      <w:lang w:eastAsia="es-MX"/>
    </w:rPr>
  </w:style>
  <w:style w:type="paragraph" w:customStyle="1" w:styleId="Texto">
    <w:name w:val="Texto"/>
    <w:link w:val="TextoCar"/>
    <w:qFormat/>
    <w:rsid w:val="00F71E5C"/>
    <w:pPr>
      <w:spacing w:after="360" w:line="360" w:lineRule="auto"/>
      <w:ind w:left="144" w:right="144"/>
      <w:jc w:val="both"/>
    </w:pPr>
    <w:rPr>
      <w:rFonts w:ascii="Helvetica" w:eastAsia="Times New Roman" w:hAnsi="Helvetica"/>
      <w:sz w:val="22"/>
      <w:lang w:val="es-ES_tradnl" w:eastAsia="es-ES"/>
    </w:rPr>
  </w:style>
  <w:style w:type="paragraph" w:customStyle="1" w:styleId="Textoindependiente31">
    <w:name w:val="Texto independiente 31"/>
    <w:basedOn w:val="Normal"/>
    <w:rsid w:val="00F71E5C"/>
    <w:pPr>
      <w:widowControl w:val="0"/>
      <w:jc w:val="both"/>
    </w:pPr>
    <w:rPr>
      <w:rFonts w:ascii="CG Times" w:hAnsi="CG Times"/>
      <w:szCs w:val="20"/>
      <w:lang w:eastAsia="es-ES"/>
    </w:rPr>
  </w:style>
  <w:style w:type="paragraph" w:customStyle="1" w:styleId="VIETABLANCA">
    <w:name w:val="_VIÑETA BLANCA"/>
    <w:basedOn w:val="Normal"/>
    <w:rsid w:val="00F71E5C"/>
    <w:pPr>
      <w:numPr>
        <w:numId w:val="2"/>
      </w:numPr>
      <w:spacing w:before="120" w:after="120" w:line="240" w:lineRule="exact"/>
      <w:jc w:val="both"/>
    </w:pPr>
    <w:rPr>
      <w:sz w:val="22"/>
      <w:lang w:val="es-ES" w:eastAsia="es-ES"/>
    </w:rPr>
  </w:style>
  <w:style w:type="character" w:customStyle="1" w:styleId="SIGLAS">
    <w:name w:val="_SIGLAS"/>
    <w:rsid w:val="00F71E5C"/>
    <w:rPr>
      <w:caps/>
      <w:sz w:val="20"/>
    </w:rPr>
  </w:style>
  <w:style w:type="paragraph" w:styleId="Textodebloque">
    <w:name w:val="Block Text"/>
    <w:basedOn w:val="Normal"/>
    <w:rsid w:val="00F71E5C"/>
    <w:pPr>
      <w:ind w:left="85" w:right="85"/>
      <w:jc w:val="both"/>
    </w:pPr>
    <w:rPr>
      <w:rFonts w:ascii="Arial" w:hAnsi="Arial" w:cs="Arial"/>
      <w:bCs/>
      <w:sz w:val="20"/>
      <w:lang w:val="es-ES" w:eastAsia="es-ES"/>
    </w:rPr>
  </w:style>
  <w:style w:type="paragraph" w:customStyle="1" w:styleId="Textoindependiente21">
    <w:name w:val="Texto independiente 21"/>
    <w:basedOn w:val="Normal"/>
    <w:rsid w:val="00F71E5C"/>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F71E5C"/>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F71E5C"/>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F71E5C"/>
    <w:pPr>
      <w:jc w:val="both"/>
    </w:pPr>
    <w:rPr>
      <w:rFonts w:ascii="Arial" w:hAnsi="Arial"/>
      <w:sz w:val="20"/>
      <w:szCs w:val="20"/>
      <w:lang w:val="es-ES_tradnl" w:eastAsia="es-ES"/>
    </w:rPr>
  </w:style>
  <w:style w:type="paragraph" w:customStyle="1" w:styleId="Encabezado4">
    <w:name w:val="Encabezado4"/>
    <w:basedOn w:val="Normal"/>
    <w:rsid w:val="00F71E5C"/>
    <w:pPr>
      <w:spacing w:after="240"/>
    </w:pPr>
    <w:rPr>
      <w:rFonts w:ascii="Arial Narrow" w:hAnsi="Arial Narrow"/>
      <w:caps/>
      <w:sz w:val="20"/>
      <w:szCs w:val="20"/>
      <w:lang w:val="es-ES_tradnl" w:eastAsia="es-ES"/>
    </w:rPr>
  </w:style>
  <w:style w:type="paragraph" w:styleId="Continuarlista">
    <w:name w:val="List Continue"/>
    <w:basedOn w:val="Normal"/>
    <w:rsid w:val="00F71E5C"/>
    <w:pPr>
      <w:spacing w:after="120"/>
      <w:ind w:left="283"/>
    </w:pPr>
    <w:rPr>
      <w:rFonts w:ascii="Arial" w:hAnsi="Arial"/>
      <w:szCs w:val="20"/>
      <w:lang w:val="es-ES_tradnl" w:eastAsia="es-ES"/>
    </w:rPr>
  </w:style>
  <w:style w:type="paragraph" w:styleId="Sangra2detindependiente">
    <w:name w:val="Body Text Indent 2"/>
    <w:basedOn w:val="Normal"/>
    <w:link w:val="Sangra2detindependienteCar"/>
    <w:rsid w:val="00F71E5C"/>
    <w:pPr>
      <w:ind w:left="3420" w:hanging="3420"/>
      <w:jc w:val="both"/>
    </w:pPr>
    <w:rPr>
      <w:lang w:val="es-ES" w:eastAsia="es-ES"/>
    </w:rPr>
  </w:style>
  <w:style w:type="character" w:customStyle="1" w:styleId="Sangra2detindependienteCar">
    <w:name w:val="Sangría 2 de t. independiente Car"/>
    <w:link w:val="Sangra2detindependiente"/>
    <w:rsid w:val="00F71E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F71E5C"/>
    <w:pPr>
      <w:ind w:left="3060" w:hanging="3060"/>
      <w:jc w:val="both"/>
    </w:pPr>
    <w:rPr>
      <w:rFonts w:ascii="Arial" w:hAnsi="Arial" w:cs="Arial"/>
      <w:i/>
      <w:sz w:val="20"/>
      <w:lang w:val="es-ES" w:eastAsia="es-ES"/>
    </w:rPr>
  </w:style>
  <w:style w:type="character" w:customStyle="1" w:styleId="Sangra3detindependienteCar">
    <w:name w:val="Sangría 3 de t. independiente Car"/>
    <w:link w:val="Sangra3detindependiente"/>
    <w:rsid w:val="00F71E5C"/>
    <w:rPr>
      <w:rFonts w:ascii="Arial" w:eastAsia="Times New Roman" w:hAnsi="Arial" w:cs="Arial"/>
      <w:i/>
      <w:sz w:val="20"/>
      <w:szCs w:val="24"/>
      <w:lang w:val="es-ES" w:eastAsia="es-ES"/>
    </w:rPr>
  </w:style>
  <w:style w:type="paragraph" w:customStyle="1" w:styleId="xl25">
    <w:name w:val="xl25"/>
    <w:basedOn w:val="Normal"/>
    <w:rsid w:val="00F71E5C"/>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F71E5C"/>
    <w:pPr>
      <w:jc w:val="both"/>
      <w:outlineLvl w:val="1"/>
    </w:pPr>
    <w:rPr>
      <w:rFonts w:ascii="Arial" w:eastAsia="Times New Roman" w:hAnsi="Arial"/>
      <w:b/>
      <w:color w:val="000000"/>
      <w:lang w:val="es-ES" w:eastAsia="es-ES"/>
    </w:rPr>
  </w:style>
  <w:style w:type="paragraph" w:customStyle="1" w:styleId="E03-III1III2">
    <w:name w:val="E03 - III.1   III.2"/>
    <w:rsid w:val="00F71E5C"/>
    <w:pPr>
      <w:tabs>
        <w:tab w:val="left" w:pos="539"/>
      </w:tabs>
      <w:ind w:left="539" w:hanging="539"/>
      <w:outlineLvl w:val="0"/>
    </w:pPr>
    <w:rPr>
      <w:rFonts w:ascii="Arial" w:eastAsia="Times New Roman" w:hAnsi="Arial"/>
      <w:b/>
      <w:caps/>
      <w:color w:val="000000"/>
      <w:lang w:val="es-ES" w:eastAsia="es-ES"/>
    </w:rPr>
  </w:style>
  <w:style w:type="paragraph" w:customStyle="1" w:styleId="E04-TemasIII1">
    <w:name w:val="E04 - Temas  III.1"/>
    <w:rsid w:val="00F71E5C"/>
    <w:pPr>
      <w:outlineLvl w:val="1"/>
    </w:pPr>
    <w:rPr>
      <w:rFonts w:ascii="Arial" w:eastAsia="Times New Roman" w:hAnsi="Arial"/>
      <w:b/>
      <w:caps/>
      <w:color w:val="000000"/>
      <w:lang w:val="es-ES" w:eastAsia="es-ES"/>
    </w:rPr>
  </w:style>
  <w:style w:type="paragraph" w:customStyle="1" w:styleId="E05-Funcin">
    <w:name w:val="E05 - Función"/>
    <w:rsid w:val="00F71E5C"/>
    <w:pPr>
      <w:tabs>
        <w:tab w:val="left" w:pos="1162"/>
      </w:tabs>
      <w:ind w:left="1162" w:hanging="1162"/>
      <w:outlineLvl w:val="2"/>
    </w:pPr>
    <w:rPr>
      <w:rFonts w:ascii="Arial" w:eastAsia="Times New Roman" w:hAnsi="Arial"/>
      <w:b/>
      <w:color w:val="000000"/>
      <w:lang w:val="es-ES" w:eastAsia="es-ES"/>
    </w:rPr>
  </w:style>
  <w:style w:type="paragraph" w:customStyle="1" w:styleId="E06-Subfuncin">
    <w:name w:val="E06 - Subfunción"/>
    <w:rsid w:val="00F71E5C"/>
    <w:pPr>
      <w:tabs>
        <w:tab w:val="left" w:pos="1559"/>
      </w:tabs>
      <w:ind w:left="1559" w:hanging="1559"/>
      <w:jc w:val="both"/>
      <w:outlineLvl w:val="3"/>
    </w:pPr>
    <w:rPr>
      <w:rFonts w:ascii="Arial" w:eastAsia="Times New Roman" w:hAnsi="Arial"/>
      <w:color w:val="000000"/>
      <w:lang w:val="es-ES" w:eastAsia="es-ES"/>
    </w:rPr>
  </w:style>
  <w:style w:type="paragraph" w:customStyle="1" w:styleId="E07-ProgramaEspecial">
    <w:name w:val="E07 - Programa Especial"/>
    <w:rsid w:val="00F71E5C"/>
    <w:pPr>
      <w:tabs>
        <w:tab w:val="left" w:pos="2410"/>
      </w:tabs>
      <w:ind w:left="2410" w:hanging="2410"/>
      <w:jc w:val="both"/>
      <w:outlineLvl w:val="4"/>
    </w:pPr>
    <w:rPr>
      <w:rFonts w:ascii="Arial" w:eastAsia="Times New Roman" w:hAnsi="Arial"/>
      <w:color w:val="000000"/>
      <w:lang w:val="es-ES" w:eastAsia="es-ES"/>
    </w:rPr>
  </w:style>
  <w:style w:type="paragraph" w:customStyle="1" w:styleId="E08-ActividadInstitucional">
    <w:name w:val="E08 - Actividad Institucional"/>
    <w:rsid w:val="00F71E5C"/>
    <w:pPr>
      <w:tabs>
        <w:tab w:val="left" w:pos="2835"/>
      </w:tabs>
      <w:ind w:left="2835" w:hanging="2835"/>
      <w:jc w:val="both"/>
      <w:outlineLvl w:val="5"/>
    </w:pPr>
    <w:rPr>
      <w:rFonts w:ascii="Arial" w:eastAsia="Times New Roman" w:hAnsi="Arial"/>
      <w:color w:val="000000"/>
      <w:lang w:val="es-ES" w:eastAsia="es-ES"/>
    </w:rPr>
  </w:style>
  <w:style w:type="paragraph" w:customStyle="1" w:styleId="E09-Proyecto">
    <w:name w:val="E09 - Proyecto"/>
    <w:rsid w:val="00F71E5C"/>
    <w:pPr>
      <w:tabs>
        <w:tab w:val="left" w:pos="1361"/>
      </w:tabs>
      <w:ind w:left="1361" w:hanging="1361"/>
      <w:jc w:val="both"/>
      <w:outlineLvl w:val="6"/>
    </w:pPr>
    <w:rPr>
      <w:rFonts w:ascii="Arial" w:eastAsia="Times New Roman" w:hAnsi="Arial"/>
      <w:color w:val="000000"/>
      <w:lang w:eastAsia="es-ES"/>
    </w:rPr>
  </w:style>
  <w:style w:type="paragraph" w:customStyle="1" w:styleId="E10-Indicador">
    <w:name w:val="E10 - Indicador"/>
    <w:rsid w:val="00F71E5C"/>
    <w:pPr>
      <w:tabs>
        <w:tab w:val="left" w:pos="1418"/>
      </w:tabs>
      <w:ind w:left="1418" w:hanging="1418"/>
      <w:jc w:val="both"/>
      <w:outlineLvl w:val="7"/>
    </w:pPr>
    <w:rPr>
      <w:rFonts w:ascii="Arial" w:eastAsia="Times New Roman" w:hAnsi="Arial"/>
      <w:i/>
      <w:color w:val="000000"/>
      <w:lang w:val="es-ES" w:eastAsia="es-ES"/>
    </w:rPr>
  </w:style>
  <w:style w:type="paragraph" w:customStyle="1" w:styleId="AnlisisdelEjercicio">
    <w:name w:val="Análisis del Ejercicio"/>
    <w:rsid w:val="00F71E5C"/>
    <w:pPr>
      <w:tabs>
        <w:tab w:val="right" w:pos="5954"/>
      </w:tabs>
      <w:ind w:left="57"/>
    </w:pPr>
    <w:rPr>
      <w:rFonts w:ascii="Arial" w:eastAsia="Times New Roman" w:hAnsi="Arial"/>
      <w:caps/>
      <w:sz w:val="16"/>
      <w:lang w:val="es-ES" w:eastAsia="es-ES"/>
    </w:rPr>
  </w:style>
  <w:style w:type="paragraph" w:customStyle="1" w:styleId="Formatos">
    <w:name w:val="Formatos"/>
    <w:rsid w:val="00F71E5C"/>
    <w:pPr>
      <w:tabs>
        <w:tab w:val="right" w:pos="5954"/>
      </w:tabs>
      <w:ind w:left="284"/>
      <w:jc w:val="both"/>
    </w:pPr>
    <w:rPr>
      <w:rFonts w:ascii="Arial" w:eastAsia="Times New Roman" w:hAnsi="Arial"/>
      <w:sz w:val="16"/>
      <w:lang w:val="es-ES" w:eastAsia="es-ES"/>
    </w:rPr>
  </w:style>
  <w:style w:type="paragraph" w:customStyle="1" w:styleId="Tipodeinformacin">
    <w:name w:val="Tipo de información"/>
    <w:rsid w:val="00F71E5C"/>
    <w:pPr>
      <w:tabs>
        <w:tab w:val="right" w:pos="5954"/>
      </w:tabs>
      <w:ind w:left="57"/>
      <w:jc w:val="both"/>
    </w:pPr>
    <w:rPr>
      <w:rFonts w:ascii="Arial" w:eastAsia="Times New Roman" w:hAnsi="Arial"/>
      <w:b/>
      <w:caps/>
      <w:sz w:val="16"/>
      <w:lang w:val="es-ES" w:eastAsia="es-ES"/>
    </w:rPr>
  </w:style>
  <w:style w:type="paragraph" w:customStyle="1" w:styleId="Cabeza">
    <w:name w:val="Cabeza"/>
    <w:rsid w:val="00F71E5C"/>
    <w:rPr>
      <w:rFonts w:ascii="Arial" w:eastAsia="Times New Roman" w:hAnsi="Arial"/>
      <w:color w:val="000000"/>
      <w:lang w:eastAsia="es-ES"/>
    </w:rPr>
  </w:style>
  <w:style w:type="paragraph" w:customStyle="1" w:styleId="Clave">
    <w:name w:val="Clave"/>
    <w:rsid w:val="00F71E5C"/>
    <w:pPr>
      <w:spacing w:before="40"/>
      <w:jc w:val="right"/>
    </w:pPr>
    <w:rPr>
      <w:rFonts w:ascii="Arial" w:eastAsia="Times New Roman" w:hAnsi="Arial" w:cs="Arial"/>
      <w:b/>
      <w:sz w:val="22"/>
      <w:lang w:val="es-ES" w:eastAsia="es-ES"/>
    </w:rPr>
  </w:style>
  <w:style w:type="paragraph" w:customStyle="1" w:styleId="InterlineadoCerrado">
    <w:name w:val="InterlineadoCerrado"/>
    <w:rsid w:val="00F71E5C"/>
    <w:pPr>
      <w:spacing w:line="200" w:lineRule="exact"/>
    </w:pPr>
    <w:rPr>
      <w:rFonts w:ascii="Arial" w:eastAsia="Times New Roman" w:hAnsi="Arial"/>
      <w:noProof/>
      <w:lang w:val="es-ES" w:eastAsia="es-ES"/>
    </w:rPr>
  </w:style>
  <w:style w:type="paragraph" w:customStyle="1" w:styleId="Nombre">
    <w:name w:val="Nombre"/>
    <w:rsid w:val="00F71E5C"/>
    <w:pPr>
      <w:jc w:val="center"/>
    </w:pPr>
    <w:rPr>
      <w:rFonts w:ascii="Arial" w:eastAsia="Times New Roman" w:hAnsi="Arial" w:cs="Arial"/>
      <w:b/>
      <w:bCs/>
      <w:sz w:val="24"/>
      <w:lang w:val="es-ES" w:eastAsia="es-ES"/>
    </w:rPr>
  </w:style>
  <w:style w:type="paragraph" w:customStyle="1" w:styleId="CabezaIndice">
    <w:name w:val="CabezaIndice"/>
    <w:rsid w:val="00F71E5C"/>
    <w:pPr>
      <w:spacing w:before="120" w:after="120" w:line="200" w:lineRule="exact"/>
      <w:jc w:val="center"/>
    </w:pPr>
    <w:rPr>
      <w:rFonts w:ascii="Arial" w:eastAsia="Times New Roman" w:hAnsi="Arial" w:cs="Arial"/>
      <w:b/>
      <w:bCs/>
      <w:sz w:val="16"/>
      <w:lang w:eastAsia="es-ES"/>
    </w:rPr>
  </w:style>
  <w:style w:type="paragraph" w:customStyle="1" w:styleId="InterlineadoCerrado4">
    <w:name w:val="InterlineadoCerrado(4)"/>
    <w:basedOn w:val="InterlineadoCerrado"/>
    <w:rsid w:val="00F71E5C"/>
    <w:pPr>
      <w:spacing w:line="60" w:lineRule="exact"/>
    </w:pPr>
  </w:style>
  <w:style w:type="character" w:styleId="Hipervnculo">
    <w:name w:val="Hyperlink"/>
    <w:rsid w:val="00F71E5C"/>
    <w:rPr>
      <w:color w:val="0000FF"/>
      <w:u w:val="single"/>
    </w:rPr>
  </w:style>
  <w:style w:type="paragraph" w:customStyle="1" w:styleId="Body">
    <w:name w:val="Body"/>
    <w:aliases w:val="Text"/>
    <w:basedOn w:val="Normal"/>
    <w:rsid w:val="00F71E5C"/>
    <w:pPr>
      <w:jc w:val="both"/>
    </w:pPr>
    <w:rPr>
      <w:rFonts w:ascii="Arial" w:hAnsi="Arial"/>
      <w:sz w:val="20"/>
      <w:szCs w:val="20"/>
      <w:lang w:val="es-ES_tradnl" w:eastAsia="es-ES"/>
    </w:rPr>
  </w:style>
  <w:style w:type="paragraph" w:customStyle="1" w:styleId="BULET">
    <w:name w:val="BULET"/>
    <w:basedOn w:val="Normal"/>
    <w:rsid w:val="00F71E5C"/>
    <w:pPr>
      <w:numPr>
        <w:numId w:val="3"/>
      </w:numPr>
    </w:pPr>
    <w:rPr>
      <w:lang w:val="es-ES" w:eastAsia="es-ES"/>
    </w:rPr>
  </w:style>
  <w:style w:type="paragraph" w:customStyle="1" w:styleId="N1">
    <w:name w:val="N1"/>
    <w:basedOn w:val="Normal"/>
    <w:rsid w:val="00F71E5C"/>
    <w:pPr>
      <w:keepNext/>
      <w:spacing w:before="240" w:after="120"/>
    </w:pPr>
    <w:rPr>
      <w:rFonts w:ascii="Arial" w:hAnsi="Arial"/>
      <w:b/>
      <w:sz w:val="20"/>
      <w:szCs w:val="20"/>
      <w:lang w:eastAsia="es-ES"/>
    </w:rPr>
  </w:style>
  <w:style w:type="character" w:styleId="Hipervnculovisitado">
    <w:name w:val="FollowedHyperlink"/>
    <w:rsid w:val="00F71E5C"/>
    <w:rPr>
      <w:color w:val="800080"/>
      <w:u w:val="single"/>
    </w:rPr>
  </w:style>
  <w:style w:type="paragraph" w:customStyle="1" w:styleId="BALA0">
    <w:name w:val="BALA"/>
    <w:basedOn w:val="Normal"/>
    <w:rsid w:val="00F71E5C"/>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F71E5C"/>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F71E5C"/>
    <w:pPr>
      <w:ind w:left="567"/>
      <w:jc w:val="both"/>
    </w:pPr>
    <w:rPr>
      <w:rFonts w:ascii="Arial" w:hAnsi="Arial"/>
      <w:sz w:val="20"/>
      <w:lang w:val="es-ES" w:eastAsia="es-ES"/>
    </w:rPr>
  </w:style>
  <w:style w:type="paragraph" w:styleId="Textodeglobo">
    <w:name w:val="Balloon Text"/>
    <w:basedOn w:val="Normal"/>
    <w:link w:val="TextodegloboCar"/>
    <w:semiHidden/>
    <w:rsid w:val="00F71E5C"/>
    <w:rPr>
      <w:rFonts w:ascii="Tahoma" w:hAnsi="Tahoma" w:cs="Tahoma"/>
      <w:sz w:val="16"/>
      <w:szCs w:val="16"/>
    </w:rPr>
  </w:style>
  <w:style w:type="character" w:customStyle="1" w:styleId="TextodegloboCar">
    <w:name w:val="Texto de globo Car"/>
    <w:link w:val="Textodeglobo"/>
    <w:semiHidden/>
    <w:rsid w:val="00F71E5C"/>
    <w:rPr>
      <w:rFonts w:ascii="Tahoma" w:eastAsia="Times New Roman" w:hAnsi="Tahoma" w:cs="Tahoma"/>
      <w:sz w:val="16"/>
      <w:szCs w:val="16"/>
      <w:lang w:eastAsia="es-MX"/>
    </w:rPr>
  </w:style>
  <w:style w:type="table" w:styleId="Tablaconcuadrcula">
    <w:name w:val="Table Grid"/>
    <w:basedOn w:val="Tablanormal"/>
    <w:uiPriority w:val="39"/>
    <w:rsid w:val="00F71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F71E5C"/>
    <w:pPr>
      <w:numPr>
        <w:numId w:val="6"/>
      </w:numPr>
      <w:tabs>
        <w:tab w:val="left" w:pos="284"/>
      </w:tabs>
      <w:spacing w:before="60" w:after="60" w:line="240" w:lineRule="exact"/>
      <w:jc w:val="both"/>
    </w:pPr>
    <w:rPr>
      <w:rFonts w:ascii="EurekaSans-Light" w:eastAsia="Times New Roman" w:hAnsi="EurekaSans-Light"/>
      <w:sz w:val="24"/>
      <w:szCs w:val="24"/>
      <w:lang w:val="en-US" w:eastAsia="es-ES_tradnl"/>
    </w:rPr>
  </w:style>
  <w:style w:type="character" w:customStyle="1" w:styleId="Vieta1Car">
    <w:name w:val="Viñeta 1 Car"/>
    <w:rsid w:val="00F71E5C"/>
    <w:rPr>
      <w:rFonts w:ascii="EurekaSans-Light" w:hAnsi="EurekaSans-Light"/>
      <w:sz w:val="24"/>
      <w:szCs w:val="24"/>
      <w:lang w:val="en-US" w:eastAsia="es-ES_tradnl" w:bidi="ar-SA"/>
    </w:rPr>
  </w:style>
  <w:style w:type="paragraph" w:styleId="Textonotapie">
    <w:name w:val="footnote text"/>
    <w:basedOn w:val="Normal"/>
    <w:link w:val="TextonotapieCar"/>
    <w:semiHidden/>
    <w:rsid w:val="00F71E5C"/>
    <w:rPr>
      <w:sz w:val="20"/>
      <w:szCs w:val="20"/>
    </w:rPr>
  </w:style>
  <w:style w:type="character" w:customStyle="1" w:styleId="TextonotapieCar">
    <w:name w:val="Texto nota pie Car"/>
    <w:link w:val="Textonotapie"/>
    <w:semiHidden/>
    <w:rsid w:val="00F71E5C"/>
    <w:rPr>
      <w:rFonts w:ascii="Times New Roman" w:eastAsia="Times New Roman" w:hAnsi="Times New Roman" w:cs="Times New Roman"/>
      <w:sz w:val="20"/>
      <w:szCs w:val="20"/>
      <w:lang w:eastAsia="es-MX"/>
    </w:rPr>
  </w:style>
  <w:style w:type="character" w:styleId="Refdenotaalpie">
    <w:name w:val="footnote reference"/>
    <w:semiHidden/>
    <w:rsid w:val="00F71E5C"/>
    <w:rPr>
      <w:vertAlign w:val="superscript"/>
    </w:rPr>
  </w:style>
  <w:style w:type="paragraph" w:styleId="Textonotaalfinal">
    <w:name w:val="endnote text"/>
    <w:basedOn w:val="Normal"/>
    <w:link w:val="TextonotaalfinalCar"/>
    <w:semiHidden/>
    <w:rsid w:val="00F71E5C"/>
    <w:rPr>
      <w:sz w:val="20"/>
      <w:szCs w:val="20"/>
    </w:rPr>
  </w:style>
  <w:style w:type="character" w:customStyle="1" w:styleId="TextonotaalfinalCar">
    <w:name w:val="Texto nota al final Car"/>
    <w:link w:val="Textonotaalfinal"/>
    <w:semiHidden/>
    <w:rsid w:val="00F71E5C"/>
    <w:rPr>
      <w:rFonts w:ascii="Times New Roman" w:eastAsia="Times New Roman" w:hAnsi="Times New Roman" w:cs="Times New Roman"/>
      <w:sz w:val="20"/>
      <w:szCs w:val="20"/>
      <w:lang w:eastAsia="es-MX"/>
    </w:rPr>
  </w:style>
  <w:style w:type="character" w:styleId="Refdenotaalfinal">
    <w:name w:val="endnote reference"/>
    <w:semiHidden/>
    <w:rsid w:val="00F71E5C"/>
    <w:rPr>
      <w:vertAlign w:val="superscript"/>
    </w:rPr>
  </w:style>
  <w:style w:type="paragraph" w:customStyle="1" w:styleId="Nmero">
    <w:name w:val="Número"/>
    <w:basedOn w:val="Normal"/>
    <w:rsid w:val="00F71E5C"/>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F71E5C"/>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F71E5C"/>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F71E5C"/>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F71E5C"/>
    <w:pPr>
      <w:keepNext/>
      <w:jc w:val="both"/>
    </w:pPr>
    <w:rPr>
      <w:rFonts w:ascii="Arial" w:hAnsi="Arial"/>
      <w:b/>
      <w:sz w:val="20"/>
      <w:szCs w:val="20"/>
      <w:lang w:val="es-ES_tradnl" w:eastAsia="es-ES"/>
    </w:rPr>
  </w:style>
  <w:style w:type="paragraph" w:customStyle="1" w:styleId="Body3">
    <w:name w:val="Body3"/>
    <w:aliases w:val="Text3,2"/>
    <w:basedOn w:val="Normal"/>
    <w:rsid w:val="00F71E5C"/>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F71E5C"/>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F71E5C"/>
    <w:pPr>
      <w:ind w:left="454" w:hanging="454"/>
      <w:jc w:val="both"/>
    </w:pPr>
    <w:rPr>
      <w:rFonts w:ascii="Arial" w:hAnsi="Arial"/>
      <w:sz w:val="20"/>
      <w:szCs w:val="20"/>
      <w:lang w:val="es-ES_tradnl" w:eastAsia="es-ES"/>
    </w:rPr>
  </w:style>
  <w:style w:type="paragraph" w:customStyle="1" w:styleId="Default">
    <w:name w:val="Default"/>
    <w:rsid w:val="00F71E5C"/>
    <w:pPr>
      <w:widowControl w:val="0"/>
      <w:autoSpaceDE w:val="0"/>
      <w:autoSpaceDN w:val="0"/>
      <w:adjustRightInd w:val="0"/>
    </w:pPr>
    <w:rPr>
      <w:rFonts w:ascii="Arial,Bold" w:eastAsia="Times New Roman" w:hAnsi="Arial,Bold"/>
      <w:lang w:val="es-ES" w:eastAsia="es-ES"/>
    </w:rPr>
  </w:style>
  <w:style w:type="character" w:styleId="Refdecomentario">
    <w:name w:val="annotation reference"/>
    <w:semiHidden/>
    <w:rsid w:val="00F71E5C"/>
    <w:rPr>
      <w:sz w:val="16"/>
      <w:szCs w:val="16"/>
    </w:rPr>
  </w:style>
  <w:style w:type="paragraph" w:styleId="Textocomentario">
    <w:name w:val="annotation text"/>
    <w:basedOn w:val="Normal"/>
    <w:link w:val="TextocomentarioCar"/>
    <w:semiHidden/>
    <w:rsid w:val="00F71E5C"/>
    <w:rPr>
      <w:sz w:val="20"/>
      <w:szCs w:val="20"/>
    </w:rPr>
  </w:style>
  <w:style w:type="character" w:customStyle="1" w:styleId="TextocomentarioCar">
    <w:name w:val="Texto comentario Car"/>
    <w:link w:val="Textocomentario"/>
    <w:semiHidden/>
    <w:rsid w:val="00F71E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semiHidden/>
    <w:rsid w:val="00F71E5C"/>
    <w:rPr>
      <w:b/>
      <w:bCs/>
    </w:rPr>
  </w:style>
  <w:style w:type="character" w:customStyle="1" w:styleId="AsuntodelcomentarioCar">
    <w:name w:val="Asunto del comentario Car"/>
    <w:link w:val="Asuntodelcomentario"/>
    <w:semiHidden/>
    <w:rsid w:val="00F71E5C"/>
    <w:rPr>
      <w:rFonts w:ascii="Times New Roman" w:eastAsia="Times New Roman" w:hAnsi="Times New Roman" w:cs="Times New Roman"/>
      <w:b/>
      <w:bCs/>
      <w:sz w:val="20"/>
      <w:szCs w:val="20"/>
      <w:lang w:eastAsia="es-MX"/>
    </w:rPr>
  </w:style>
  <w:style w:type="paragraph" w:customStyle="1" w:styleId="CarCar1">
    <w:name w:val="Car Car1"/>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F71E5C"/>
    <w:pPr>
      <w:ind w:left="720"/>
      <w:contextualSpacing/>
    </w:pPr>
  </w:style>
  <w:style w:type="paragraph" w:customStyle="1" w:styleId="Epgrafe">
    <w:name w:val="Epígrafe"/>
    <w:basedOn w:val="Normal"/>
    <w:next w:val="Normal"/>
    <w:unhideWhenUsed/>
    <w:qFormat/>
    <w:rsid w:val="00F71E5C"/>
    <w:pPr>
      <w:spacing w:after="200"/>
    </w:pPr>
    <w:rPr>
      <w:b/>
      <w:bCs/>
      <w:color w:val="4F81BD"/>
      <w:sz w:val="18"/>
      <w:szCs w:val="18"/>
    </w:rPr>
  </w:style>
  <w:style w:type="character" w:styleId="Textoennegrita">
    <w:name w:val="Strong"/>
    <w:qFormat/>
    <w:rsid w:val="00F71E5C"/>
    <w:rPr>
      <w:b/>
      <w:bCs/>
    </w:rPr>
  </w:style>
  <w:style w:type="paragraph" w:customStyle="1" w:styleId="m-935168839506812550gmail-msolistparagraph">
    <w:name w:val="m_-935168839506812550gmail-msolistparagraph"/>
    <w:basedOn w:val="Normal"/>
    <w:rsid w:val="00F71E5C"/>
    <w:pPr>
      <w:spacing w:before="100" w:beforeAutospacing="1" w:after="100" w:afterAutospacing="1"/>
    </w:pPr>
  </w:style>
  <w:style w:type="paragraph" w:customStyle="1" w:styleId="p0">
    <w:name w:val="p0"/>
    <w:basedOn w:val="Normal"/>
    <w:rsid w:val="00F71E5C"/>
    <w:pPr>
      <w:keepLines/>
      <w:spacing w:before="240"/>
      <w:jc w:val="both"/>
    </w:pPr>
    <w:rPr>
      <w:rFonts w:ascii="Arial" w:hAnsi="Arial"/>
      <w:szCs w:val="20"/>
      <w:lang w:val="es-ES_tradnl" w:eastAsia="es-ES"/>
    </w:rPr>
  </w:style>
  <w:style w:type="paragraph" w:customStyle="1" w:styleId="p02">
    <w:name w:val="p02"/>
    <w:basedOn w:val="Normal"/>
    <w:next w:val="p0"/>
    <w:rsid w:val="00F71E5C"/>
    <w:pPr>
      <w:keepLines/>
      <w:spacing w:before="240"/>
      <w:ind w:right="11"/>
      <w:jc w:val="both"/>
    </w:pPr>
    <w:rPr>
      <w:rFonts w:ascii="Univers" w:hAnsi="Univers"/>
      <w:color w:val="0000FF"/>
      <w:szCs w:val="20"/>
      <w:lang w:val="es-ES_tradnl" w:eastAsia="es-ES"/>
    </w:rPr>
  </w:style>
  <w:style w:type="table" w:customStyle="1" w:styleId="TableNormal">
    <w:name w:val="Table Normal"/>
    <w:uiPriority w:val="2"/>
    <w:semiHidden/>
    <w:unhideWhenUsed/>
    <w:qFormat/>
    <w:rsid w:val="00F71E5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E5C"/>
    <w:pPr>
      <w:widowControl w:val="0"/>
      <w:autoSpaceDE w:val="0"/>
      <w:autoSpaceDN w:val="0"/>
    </w:pPr>
    <w:rPr>
      <w:rFonts w:ascii="Arial" w:eastAsia="Arial" w:hAnsi="Arial" w:cs="Arial"/>
      <w:sz w:val="22"/>
      <w:szCs w:val="22"/>
      <w:lang w:val="es-ES" w:eastAsia="en-US"/>
    </w:rPr>
  </w:style>
  <w:style w:type="paragraph" w:styleId="Ttulo">
    <w:name w:val="Title"/>
    <w:basedOn w:val="Normal"/>
    <w:next w:val="Normal"/>
    <w:link w:val="TtuloCar"/>
    <w:uiPriority w:val="10"/>
    <w:qFormat/>
    <w:rsid w:val="00F71E5C"/>
    <w:pPr>
      <w:contextualSpacing/>
    </w:pPr>
    <w:rPr>
      <w:rFonts w:ascii="Calibri Light" w:hAnsi="Calibri Light"/>
      <w:spacing w:val="-10"/>
      <w:kern w:val="28"/>
      <w:sz w:val="56"/>
      <w:szCs w:val="56"/>
    </w:rPr>
  </w:style>
  <w:style w:type="character" w:customStyle="1" w:styleId="TtuloCar">
    <w:name w:val="Título Car"/>
    <w:link w:val="Ttulo"/>
    <w:uiPriority w:val="10"/>
    <w:rsid w:val="00F71E5C"/>
    <w:rPr>
      <w:rFonts w:ascii="Calibri Light" w:eastAsia="Times New Roman" w:hAnsi="Calibri Light" w:cs="Times New Roman"/>
      <w:spacing w:val="-10"/>
      <w:kern w:val="28"/>
      <w:sz w:val="56"/>
      <w:szCs w:val="56"/>
      <w:lang w:eastAsia="es-MX"/>
    </w:rPr>
  </w:style>
  <w:style w:type="paragraph" w:customStyle="1" w:styleId="n01">
    <w:name w:val="n01"/>
    <w:basedOn w:val="Normal"/>
    <w:rsid w:val="000D59C3"/>
    <w:pPr>
      <w:keepLines/>
      <w:spacing w:before="240"/>
      <w:ind w:left="720" w:hanging="720"/>
      <w:jc w:val="both"/>
    </w:pPr>
    <w:rPr>
      <w:rFonts w:ascii="Univers (W1)" w:hAnsi="Univers (W1)" w:cs="Arial"/>
      <w:color w:val="800080"/>
      <w:lang w:val="es-ES_tradnl" w:eastAsia="es-ES"/>
    </w:rPr>
  </w:style>
  <w:style w:type="character" w:styleId="nfasis">
    <w:name w:val="Emphasis"/>
    <w:basedOn w:val="Fuentedeprrafopredeter"/>
    <w:uiPriority w:val="20"/>
    <w:qFormat/>
    <w:rsid w:val="006C0889"/>
    <w:rPr>
      <w:i/>
      <w:iCs/>
    </w:rPr>
  </w:style>
  <w:style w:type="character" w:customStyle="1" w:styleId="TextoCar">
    <w:name w:val="Texto Car"/>
    <w:link w:val="Texto"/>
    <w:locked/>
    <w:rsid w:val="006B173A"/>
    <w:rPr>
      <w:rFonts w:ascii="Helvetica" w:eastAsia="Times New Roman" w:hAnsi="Helvetica"/>
      <w:sz w:val="22"/>
      <w:lang w:val="es-ES_tradnl" w:eastAsia="es-ES"/>
    </w:rPr>
  </w:style>
  <w:style w:type="paragraph" w:styleId="NormalWeb">
    <w:name w:val="Normal (Web)"/>
    <w:basedOn w:val="Normal"/>
    <w:uiPriority w:val="99"/>
    <w:semiHidden/>
    <w:unhideWhenUsed/>
    <w:rsid w:val="001556DC"/>
    <w:pPr>
      <w:spacing w:before="100" w:beforeAutospacing="1" w:after="100" w:afterAutospacing="1"/>
    </w:pPr>
  </w:style>
  <w:style w:type="character" w:styleId="Mencinsinresolver">
    <w:name w:val="Unresolved Mention"/>
    <w:basedOn w:val="Fuentedeprrafopredeter"/>
    <w:uiPriority w:val="99"/>
    <w:semiHidden/>
    <w:unhideWhenUsed/>
    <w:rsid w:val="002E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9">
      <w:bodyDiv w:val="1"/>
      <w:marLeft w:val="0"/>
      <w:marRight w:val="0"/>
      <w:marTop w:val="0"/>
      <w:marBottom w:val="0"/>
      <w:divBdr>
        <w:top w:val="none" w:sz="0" w:space="0" w:color="auto"/>
        <w:left w:val="none" w:sz="0" w:space="0" w:color="auto"/>
        <w:bottom w:val="none" w:sz="0" w:space="0" w:color="auto"/>
        <w:right w:val="none" w:sz="0" w:space="0" w:color="auto"/>
      </w:divBdr>
    </w:div>
    <w:div w:id="2097840">
      <w:bodyDiv w:val="1"/>
      <w:marLeft w:val="0"/>
      <w:marRight w:val="0"/>
      <w:marTop w:val="0"/>
      <w:marBottom w:val="0"/>
      <w:divBdr>
        <w:top w:val="none" w:sz="0" w:space="0" w:color="auto"/>
        <w:left w:val="none" w:sz="0" w:space="0" w:color="auto"/>
        <w:bottom w:val="none" w:sz="0" w:space="0" w:color="auto"/>
        <w:right w:val="none" w:sz="0" w:space="0" w:color="auto"/>
      </w:divBdr>
    </w:div>
    <w:div w:id="29453829">
      <w:bodyDiv w:val="1"/>
      <w:marLeft w:val="0"/>
      <w:marRight w:val="0"/>
      <w:marTop w:val="0"/>
      <w:marBottom w:val="0"/>
      <w:divBdr>
        <w:top w:val="none" w:sz="0" w:space="0" w:color="auto"/>
        <w:left w:val="none" w:sz="0" w:space="0" w:color="auto"/>
        <w:bottom w:val="none" w:sz="0" w:space="0" w:color="auto"/>
        <w:right w:val="none" w:sz="0" w:space="0" w:color="auto"/>
      </w:divBdr>
    </w:div>
    <w:div w:id="40252970">
      <w:bodyDiv w:val="1"/>
      <w:marLeft w:val="0"/>
      <w:marRight w:val="0"/>
      <w:marTop w:val="0"/>
      <w:marBottom w:val="0"/>
      <w:divBdr>
        <w:top w:val="none" w:sz="0" w:space="0" w:color="auto"/>
        <w:left w:val="none" w:sz="0" w:space="0" w:color="auto"/>
        <w:bottom w:val="none" w:sz="0" w:space="0" w:color="auto"/>
        <w:right w:val="none" w:sz="0" w:space="0" w:color="auto"/>
      </w:divBdr>
    </w:div>
    <w:div w:id="65304654">
      <w:bodyDiv w:val="1"/>
      <w:marLeft w:val="0"/>
      <w:marRight w:val="0"/>
      <w:marTop w:val="0"/>
      <w:marBottom w:val="0"/>
      <w:divBdr>
        <w:top w:val="none" w:sz="0" w:space="0" w:color="auto"/>
        <w:left w:val="none" w:sz="0" w:space="0" w:color="auto"/>
        <w:bottom w:val="none" w:sz="0" w:space="0" w:color="auto"/>
        <w:right w:val="none" w:sz="0" w:space="0" w:color="auto"/>
      </w:divBdr>
    </w:div>
    <w:div w:id="95440931">
      <w:bodyDiv w:val="1"/>
      <w:marLeft w:val="0"/>
      <w:marRight w:val="0"/>
      <w:marTop w:val="0"/>
      <w:marBottom w:val="0"/>
      <w:divBdr>
        <w:top w:val="none" w:sz="0" w:space="0" w:color="auto"/>
        <w:left w:val="none" w:sz="0" w:space="0" w:color="auto"/>
        <w:bottom w:val="none" w:sz="0" w:space="0" w:color="auto"/>
        <w:right w:val="none" w:sz="0" w:space="0" w:color="auto"/>
      </w:divBdr>
    </w:div>
    <w:div w:id="202062299">
      <w:bodyDiv w:val="1"/>
      <w:marLeft w:val="0"/>
      <w:marRight w:val="0"/>
      <w:marTop w:val="0"/>
      <w:marBottom w:val="0"/>
      <w:divBdr>
        <w:top w:val="none" w:sz="0" w:space="0" w:color="auto"/>
        <w:left w:val="none" w:sz="0" w:space="0" w:color="auto"/>
        <w:bottom w:val="none" w:sz="0" w:space="0" w:color="auto"/>
        <w:right w:val="none" w:sz="0" w:space="0" w:color="auto"/>
      </w:divBdr>
    </w:div>
    <w:div w:id="204490959">
      <w:bodyDiv w:val="1"/>
      <w:marLeft w:val="0"/>
      <w:marRight w:val="0"/>
      <w:marTop w:val="0"/>
      <w:marBottom w:val="0"/>
      <w:divBdr>
        <w:top w:val="none" w:sz="0" w:space="0" w:color="auto"/>
        <w:left w:val="none" w:sz="0" w:space="0" w:color="auto"/>
        <w:bottom w:val="none" w:sz="0" w:space="0" w:color="auto"/>
        <w:right w:val="none" w:sz="0" w:space="0" w:color="auto"/>
      </w:divBdr>
    </w:div>
    <w:div w:id="230887994">
      <w:bodyDiv w:val="1"/>
      <w:marLeft w:val="0"/>
      <w:marRight w:val="0"/>
      <w:marTop w:val="0"/>
      <w:marBottom w:val="0"/>
      <w:divBdr>
        <w:top w:val="none" w:sz="0" w:space="0" w:color="auto"/>
        <w:left w:val="none" w:sz="0" w:space="0" w:color="auto"/>
        <w:bottom w:val="none" w:sz="0" w:space="0" w:color="auto"/>
        <w:right w:val="none" w:sz="0" w:space="0" w:color="auto"/>
      </w:divBdr>
    </w:div>
    <w:div w:id="258300298">
      <w:bodyDiv w:val="1"/>
      <w:marLeft w:val="0"/>
      <w:marRight w:val="0"/>
      <w:marTop w:val="0"/>
      <w:marBottom w:val="0"/>
      <w:divBdr>
        <w:top w:val="none" w:sz="0" w:space="0" w:color="auto"/>
        <w:left w:val="none" w:sz="0" w:space="0" w:color="auto"/>
        <w:bottom w:val="none" w:sz="0" w:space="0" w:color="auto"/>
        <w:right w:val="none" w:sz="0" w:space="0" w:color="auto"/>
      </w:divBdr>
    </w:div>
    <w:div w:id="264196262">
      <w:bodyDiv w:val="1"/>
      <w:marLeft w:val="0"/>
      <w:marRight w:val="0"/>
      <w:marTop w:val="0"/>
      <w:marBottom w:val="0"/>
      <w:divBdr>
        <w:top w:val="none" w:sz="0" w:space="0" w:color="auto"/>
        <w:left w:val="none" w:sz="0" w:space="0" w:color="auto"/>
        <w:bottom w:val="none" w:sz="0" w:space="0" w:color="auto"/>
        <w:right w:val="none" w:sz="0" w:space="0" w:color="auto"/>
      </w:divBdr>
    </w:div>
    <w:div w:id="296884269">
      <w:bodyDiv w:val="1"/>
      <w:marLeft w:val="0"/>
      <w:marRight w:val="0"/>
      <w:marTop w:val="0"/>
      <w:marBottom w:val="0"/>
      <w:divBdr>
        <w:top w:val="none" w:sz="0" w:space="0" w:color="auto"/>
        <w:left w:val="none" w:sz="0" w:space="0" w:color="auto"/>
        <w:bottom w:val="none" w:sz="0" w:space="0" w:color="auto"/>
        <w:right w:val="none" w:sz="0" w:space="0" w:color="auto"/>
      </w:divBdr>
    </w:div>
    <w:div w:id="319432762">
      <w:bodyDiv w:val="1"/>
      <w:marLeft w:val="0"/>
      <w:marRight w:val="0"/>
      <w:marTop w:val="0"/>
      <w:marBottom w:val="0"/>
      <w:divBdr>
        <w:top w:val="none" w:sz="0" w:space="0" w:color="auto"/>
        <w:left w:val="none" w:sz="0" w:space="0" w:color="auto"/>
        <w:bottom w:val="none" w:sz="0" w:space="0" w:color="auto"/>
        <w:right w:val="none" w:sz="0" w:space="0" w:color="auto"/>
      </w:divBdr>
    </w:div>
    <w:div w:id="348332418">
      <w:bodyDiv w:val="1"/>
      <w:marLeft w:val="0"/>
      <w:marRight w:val="0"/>
      <w:marTop w:val="0"/>
      <w:marBottom w:val="0"/>
      <w:divBdr>
        <w:top w:val="none" w:sz="0" w:space="0" w:color="auto"/>
        <w:left w:val="none" w:sz="0" w:space="0" w:color="auto"/>
        <w:bottom w:val="none" w:sz="0" w:space="0" w:color="auto"/>
        <w:right w:val="none" w:sz="0" w:space="0" w:color="auto"/>
      </w:divBdr>
    </w:div>
    <w:div w:id="350185200">
      <w:bodyDiv w:val="1"/>
      <w:marLeft w:val="0"/>
      <w:marRight w:val="0"/>
      <w:marTop w:val="0"/>
      <w:marBottom w:val="0"/>
      <w:divBdr>
        <w:top w:val="none" w:sz="0" w:space="0" w:color="auto"/>
        <w:left w:val="none" w:sz="0" w:space="0" w:color="auto"/>
        <w:bottom w:val="none" w:sz="0" w:space="0" w:color="auto"/>
        <w:right w:val="none" w:sz="0" w:space="0" w:color="auto"/>
      </w:divBdr>
    </w:div>
    <w:div w:id="420296560">
      <w:bodyDiv w:val="1"/>
      <w:marLeft w:val="0"/>
      <w:marRight w:val="0"/>
      <w:marTop w:val="0"/>
      <w:marBottom w:val="0"/>
      <w:divBdr>
        <w:top w:val="none" w:sz="0" w:space="0" w:color="auto"/>
        <w:left w:val="none" w:sz="0" w:space="0" w:color="auto"/>
        <w:bottom w:val="none" w:sz="0" w:space="0" w:color="auto"/>
        <w:right w:val="none" w:sz="0" w:space="0" w:color="auto"/>
      </w:divBdr>
    </w:div>
    <w:div w:id="425541228">
      <w:bodyDiv w:val="1"/>
      <w:marLeft w:val="0"/>
      <w:marRight w:val="0"/>
      <w:marTop w:val="0"/>
      <w:marBottom w:val="0"/>
      <w:divBdr>
        <w:top w:val="none" w:sz="0" w:space="0" w:color="auto"/>
        <w:left w:val="none" w:sz="0" w:space="0" w:color="auto"/>
        <w:bottom w:val="none" w:sz="0" w:space="0" w:color="auto"/>
        <w:right w:val="none" w:sz="0" w:space="0" w:color="auto"/>
      </w:divBdr>
    </w:div>
    <w:div w:id="434902477">
      <w:bodyDiv w:val="1"/>
      <w:marLeft w:val="0"/>
      <w:marRight w:val="0"/>
      <w:marTop w:val="0"/>
      <w:marBottom w:val="0"/>
      <w:divBdr>
        <w:top w:val="none" w:sz="0" w:space="0" w:color="auto"/>
        <w:left w:val="none" w:sz="0" w:space="0" w:color="auto"/>
        <w:bottom w:val="none" w:sz="0" w:space="0" w:color="auto"/>
        <w:right w:val="none" w:sz="0" w:space="0" w:color="auto"/>
      </w:divBdr>
    </w:div>
    <w:div w:id="450973165">
      <w:bodyDiv w:val="1"/>
      <w:marLeft w:val="0"/>
      <w:marRight w:val="0"/>
      <w:marTop w:val="0"/>
      <w:marBottom w:val="0"/>
      <w:divBdr>
        <w:top w:val="none" w:sz="0" w:space="0" w:color="auto"/>
        <w:left w:val="none" w:sz="0" w:space="0" w:color="auto"/>
        <w:bottom w:val="none" w:sz="0" w:space="0" w:color="auto"/>
        <w:right w:val="none" w:sz="0" w:space="0" w:color="auto"/>
      </w:divBdr>
    </w:div>
    <w:div w:id="475071368">
      <w:bodyDiv w:val="1"/>
      <w:marLeft w:val="0"/>
      <w:marRight w:val="0"/>
      <w:marTop w:val="0"/>
      <w:marBottom w:val="0"/>
      <w:divBdr>
        <w:top w:val="none" w:sz="0" w:space="0" w:color="auto"/>
        <w:left w:val="none" w:sz="0" w:space="0" w:color="auto"/>
        <w:bottom w:val="none" w:sz="0" w:space="0" w:color="auto"/>
        <w:right w:val="none" w:sz="0" w:space="0" w:color="auto"/>
      </w:divBdr>
    </w:div>
    <w:div w:id="495346459">
      <w:bodyDiv w:val="1"/>
      <w:marLeft w:val="0"/>
      <w:marRight w:val="0"/>
      <w:marTop w:val="0"/>
      <w:marBottom w:val="0"/>
      <w:divBdr>
        <w:top w:val="none" w:sz="0" w:space="0" w:color="auto"/>
        <w:left w:val="none" w:sz="0" w:space="0" w:color="auto"/>
        <w:bottom w:val="none" w:sz="0" w:space="0" w:color="auto"/>
        <w:right w:val="none" w:sz="0" w:space="0" w:color="auto"/>
      </w:divBdr>
    </w:div>
    <w:div w:id="554663459">
      <w:bodyDiv w:val="1"/>
      <w:marLeft w:val="0"/>
      <w:marRight w:val="0"/>
      <w:marTop w:val="0"/>
      <w:marBottom w:val="0"/>
      <w:divBdr>
        <w:top w:val="none" w:sz="0" w:space="0" w:color="auto"/>
        <w:left w:val="none" w:sz="0" w:space="0" w:color="auto"/>
        <w:bottom w:val="none" w:sz="0" w:space="0" w:color="auto"/>
        <w:right w:val="none" w:sz="0" w:space="0" w:color="auto"/>
      </w:divBdr>
    </w:div>
    <w:div w:id="573316517">
      <w:bodyDiv w:val="1"/>
      <w:marLeft w:val="0"/>
      <w:marRight w:val="0"/>
      <w:marTop w:val="0"/>
      <w:marBottom w:val="0"/>
      <w:divBdr>
        <w:top w:val="none" w:sz="0" w:space="0" w:color="auto"/>
        <w:left w:val="none" w:sz="0" w:space="0" w:color="auto"/>
        <w:bottom w:val="none" w:sz="0" w:space="0" w:color="auto"/>
        <w:right w:val="none" w:sz="0" w:space="0" w:color="auto"/>
      </w:divBdr>
    </w:div>
    <w:div w:id="577832913">
      <w:bodyDiv w:val="1"/>
      <w:marLeft w:val="0"/>
      <w:marRight w:val="0"/>
      <w:marTop w:val="0"/>
      <w:marBottom w:val="0"/>
      <w:divBdr>
        <w:top w:val="none" w:sz="0" w:space="0" w:color="auto"/>
        <w:left w:val="none" w:sz="0" w:space="0" w:color="auto"/>
        <w:bottom w:val="none" w:sz="0" w:space="0" w:color="auto"/>
        <w:right w:val="none" w:sz="0" w:space="0" w:color="auto"/>
      </w:divBdr>
      <w:divsChild>
        <w:div w:id="277030095">
          <w:marLeft w:val="0"/>
          <w:marRight w:val="0"/>
          <w:marTop w:val="0"/>
          <w:marBottom w:val="0"/>
          <w:divBdr>
            <w:top w:val="none" w:sz="0" w:space="0" w:color="auto"/>
            <w:left w:val="none" w:sz="0" w:space="0" w:color="auto"/>
            <w:bottom w:val="none" w:sz="0" w:space="0" w:color="auto"/>
            <w:right w:val="none" w:sz="0" w:space="0" w:color="auto"/>
          </w:divBdr>
        </w:div>
        <w:div w:id="1317605658">
          <w:marLeft w:val="0"/>
          <w:marRight w:val="0"/>
          <w:marTop w:val="0"/>
          <w:marBottom w:val="0"/>
          <w:divBdr>
            <w:top w:val="none" w:sz="0" w:space="0" w:color="auto"/>
            <w:left w:val="none" w:sz="0" w:space="0" w:color="auto"/>
            <w:bottom w:val="none" w:sz="0" w:space="0" w:color="auto"/>
            <w:right w:val="none" w:sz="0" w:space="0" w:color="auto"/>
          </w:divBdr>
        </w:div>
      </w:divsChild>
    </w:div>
    <w:div w:id="620920656">
      <w:bodyDiv w:val="1"/>
      <w:marLeft w:val="0"/>
      <w:marRight w:val="0"/>
      <w:marTop w:val="0"/>
      <w:marBottom w:val="0"/>
      <w:divBdr>
        <w:top w:val="none" w:sz="0" w:space="0" w:color="auto"/>
        <w:left w:val="none" w:sz="0" w:space="0" w:color="auto"/>
        <w:bottom w:val="none" w:sz="0" w:space="0" w:color="auto"/>
        <w:right w:val="none" w:sz="0" w:space="0" w:color="auto"/>
      </w:divBdr>
    </w:div>
    <w:div w:id="640305210">
      <w:bodyDiv w:val="1"/>
      <w:marLeft w:val="0"/>
      <w:marRight w:val="0"/>
      <w:marTop w:val="0"/>
      <w:marBottom w:val="0"/>
      <w:divBdr>
        <w:top w:val="none" w:sz="0" w:space="0" w:color="auto"/>
        <w:left w:val="none" w:sz="0" w:space="0" w:color="auto"/>
        <w:bottom w:val="none" w:sz="0" w:space="0" w:color="auto"/>
        <w:right w:val="none" w:sz="0" w:space="0" w:color="auto"/>
      </w:divBdr>
    </w:div>
    <w:div w:id="665715733">
      <w:bodyDiv w:val="1"/>
      <w:marLeft w:val="0"/>
      <w:marRight w:val="0"/>
      <w:marTop w:val="0"/>
      <w:marBottom w:val="0"/>
      <w:divBdr>
        <w:top w:val="none" w:sz="0" w:space="0" w:color="auto"/>
        <w:left w:val="none" w:sz="0" w:space="0" w:color="auto"/>
        <w:bottom w:val="none" w:sz="0" w:space="0" w:color="auto"/>
        <w:right w:val="none" w:sz="0" w:space="0" w:color="auto"/>
      </w:divBdr>
    </w:div>
    <w:div w:id="708141915">
      <w:bodyDiv w:val="1"/>
      <w:marLeft w:val="0"/>
      <w:marRight w:val="0"/>
      <w:marTop w:val="0"/>
      <w:marBottom w:val="0"/>
      <w:divBdr>
        <w:top w:val="none" w:sz="0" w:space="0" w:color="auto"/>
        <w:left w:val="none" w:sz="0" w:space="0" w:color="auto"/>
        <w:bottom w:val="none" w:sz="0" w:space="0" w:color="auto"/>
        <w:right w:val="none" w:sz="0" w:space="0" w:color="auto"/>
      </w:divBdr>
    </w:div>
    <w:div w:id="713887857">
      <w:bodyDiv w:val="1"/>
      <w:marLeft w:val="0"/>
      <w:marRight w:val="0"/>
      <w:marTop w:val="0"/>
      <w:marBottom w:val="0"/>
      <w:divBdr>
        <w:top w:val="none" w:sz="0" w:space="0" w:color="auto"/>
        <w:left w:val="none" w:sz="0" w:space="0" w:color="auto"/>
        <w:bottom w:val="none" w:sz="0" w:space="0" w:color="auto"/>
        <w:right w:val="none" w:sz="0" w:space="0" w:color="auto"/>
      </w:divBdr>
    </w:div>
    <w:div w:id="749353542">
      <w:bodyDiv w:val="1"/>
      <w:marLeft w:val="0"/>
      <w:marRight w:val="0"/>
      <w:marTop w:val="0"/>
      <w:marBottom w:val="0"/>
      <w:divBdr>
        <w:top w:val="none" w:sz="0" w:space="0" w:color="auto"/>
        <w:left w:val="none" w:sz="0" w:space="0" w:color="auto"/>
        <w:bottom w:val="none" w:sz="0" w:space="0" w:color="auto"/>
        <w:right w:val="none" w:sz="0" w:space="0" w:color="auto"/>
      </w:divBdr>
    </w:div>
    <w:div w:id="786892827">
      <w:bodyDiv w:val="1"/>
      <w:marLeft w:val="0"/>
      <w:marRight w:val="0"/>
      <w:marTop w:val="0"/>
      <w:marBottom w:val="0"/>
      <w:divBdr>
        <w:top w:val="none" w:sz="0" w:space="0" w:color="auto"/>
        <w:left w:val="none" w:sz="0" w:space="0" w:color="auto"/>
        <w:bottom w:val="none" w:sz="0" w:space="0" w:color="auto"/>
        <w:right w:val="none" w:sz="0" w:space="0" w:color="auto"/>
      </w:divBdr>
    </w:div>
    <w:div w:id="792290735">
      <w:bodyDiv w:val="1"/>
      <w:marLeft w:val="0"/>
      <w:marRight w:val="0"/>
      <w:marTop w:val="0"/>
      <w:marBottom w:val="0"/>
      <w:divBdr>
        <w:top w:val="none" w:sz="0" w:space="0" w:color="auto"/>
        <w:left w:val="none" w:sz="0" w:space="0" w:color="auto"/>
        <w:bottom w:val="none" w:sz="0" w:space="0" w:color="auto"/>
        <w:right w:val="none" w:sz="0" w:space="0" w:color="auto"/>
      </w:divBdr>
    </w:div>
    <w:div w:id="808134432">
      <w:bodyDiv w:val="1"/>
      <w:marLeft w:val="0"/>
      <w:marRight w:val="0"/>
      <w:marTop w:val="0"/>
      <w:marBottom w:val="0"/>
      <w:divBdr>
        <w:top w:val="none" w:sz="0" w:space="0" w:color="auto"/>
        <w:left w:val="none" w:sz="0" w:space="0" w:color="auto"/>
        <w:bottom w:val="none" w:sz="0" w:space="0" w:color="auto"/>
        <w:right w:val="none" w:sz="0" w:space="0" w:color="auto"/>
      </w:divBdr>
    </w:div>
    <w:div w:id="825392847">
      <w:bodyDiv w:val="1"/>
      <w:marLeft w:val="0"/>
      <w:marRight w:val="0"/>
      <w:marTop w:val="0"/>
      <w:marBottom w:val="0"/>
      <w:divBdr>
        <w:top w:val="none" w:sz="0" w:space="0" w:color="auto"/>
        <w:left w:val="none" w:sz="0" w:space="0" w:color="auto"/>
        <w:bottom w:val="none" w:sz="0" w:space="0" w:color="auto"/>
        <w:right w:val="none" w:sz="0" w:space="0" w:color="auto"/>
      </w:divBdr>
    </w:div>
    <w:div w:id="829370803">
      <w:bodyDiv w:val="1"/>
      <w:marLeft w:val="0"/>
      <w:marRight w:val="0"/>
      <w:marTop w:val="0"/>
      <w:marBottom w:val="0"/>
      <w:divBdr>
        <w:top w:val="none" w:sz="0" w:space="0" w:color="auto"/>
        <w:left w:val="none" w:sz="0" w:space="0" w:color="auto"/>
        <w:bottom w:val="none" w:sz="0" w:space="0" w:color="auto"/>
        <w:right w:val="none" w:sz="0" w:space="0" w:color="auto"/>
      </w:divBdr>
    </w:div>
    <w:div w:id="855966076">
      <w:bodyDiv w:val="1"/>
      <w:marLeft w:val="0"/>
      <w:marRight w:val="0"/>
      <w:marTop w:val="0"/>
      <w:marBottom w:val="0"/>
      <w:divBdr>
        <w:top w:val="none" w:sz="0" w:space="0" w:color="auto"/>
        <w:left w:val="none" w:sz="0" w:space="0" w:color="auto"/>
        <w:bottom w:val="none" w:sz="0" w:space="0" w:color="auto"/>
        <w:right w:val="none" w:sz="0" w:space="0" w:color="auto"/>
      </w:divBdr>
    </w:div>
    <w:div w:id="883911565">
      <w:bodyDiv w:val="1"/>
      <w:marLeft w:val="0"/>
      <w:marRight w:val="0"/>
      <w:marTop w:val="0"/>
      <w:marBottom w:val="0"/>
      <w:divBdr>
        <w:top w:val="none" w:sz="0" w:space="0" w:color="auto"/>
        <w:left w:val="none" w:sz="0" w:space="0" w:color="auto"/>
        <w:bottom w:val="none" w:sz="0" w:space="0" w:color="auto"/>
        <w:right w:val="none" w:sz="0" w:space="0" w:color="auto"/>
      </w:divBdr>
    </w:div>
    <w:div w:id="899558001">
      <w:bodyDiv w:val="1"/>
      <w:marLeft w:val="0"/>
      <w:marRight w:val="0"/>
      <w:marTop w:val="0"/>
      <w:marBottom w:val="0"/>
      <w:divBdr>
        <w:top w:val="none" w:sz="0" w:space="0" w:color="auto"/>
        <w:left w:val="none" w:sz="0" w:space="0" w:color="auto"/>
        <w:bottom w:val="none" w:sz="0" w:space="0" w:color="auto"/>
        <w:right w:val="none" w:sz="0" w:space="0" w:color="auto"/>
      </w:divBdr>
    </w:div>
    <w:div w:id="907881226">
      <w:bodyDiv w:val="1"/>
      <w:marLeft w:val="0"/>
      <w:marRight w:val="0"/>
      <w:marTop w:val="0"/>
      <w:marBottom w:val="0"/>
      <w:divBdr>
        <w:top w:val="none" w:sz="0" w:space="0" w:color="auto"/>
        <w:left w:val="none" w:sz="0" w:space="0" w:color="auto"/>
        <w:bottom w:val="none" w:sz="0" w:space="0" w:color="auto"/>
        <w:right w:val="none" w:sz="0" w:space="0" w:color="auto"/>
      </w:divBdr>
    </w:div>
    <w:div w:id="914582900">
      <w:bodyDiv w:val="1"/>
      <w:marLeft w:val="0"/>
      <w:marRight w:val="0"/>
      <w:marTop w:val="0"/>
      <w:marBottom w:val="0"/>
      <w:divBdr>
        <w:top w:val="none" w:sz="0" w:space="0" w:color="auto"/>
        <w:left w:val="none" w:sz="0" w:space="0" w:color="auto"/>
        <w:bottom w:val="none" w:sz="0" w:space="0" w:color="auto"/>
        <w:right w:val="none" w:sz="0" w:space="0" w:color="auto"/>
      </w:divBdr>
    </w:div>
    <w:div w:id="930235981">
      <w:bodyDiv w:val="1"/>
      <w:marLeft w:val="0"/>
      <w:marRight w:val="0"/>
      <w:marTop w:val="0"/>
      <w:marBottom w:val="0"/>
      <w:divBdr>
        <w:top w:val="none" w:sz="0" w:space="0" w:color="auto"/>
        <w:left w:val="none" w:sz="0" w:space="0" w:color="auto"/>
        <w:bottom w:val="none" w:sz="0" w:space="0" w:color="auto"/>
        <w:right w:val="none" w:sz="0" w:space="0" w:color="auto"/>
      </w:divBdr>
    </w:div>
    <w:div w:id="944966542">
      <w:bodyDiv w:val="1"/>
      <w:marLeft w:val="0"/>
      <w:marRight w:val="0"/>
      <w:marTop w:val="0"/>
      <w:marBottom w:val="0"/>
      <w:divBdr>
        <w:top w:val="none" w:sz="0" w:space="0" w:color="auto"/>
        <w:left w:val="none" w:sz="0" w:space="0" w:color="auto"/>
        <w:bottom w:val="none" w:sz="0" w:space="0" w:color="auto"/>
        <w:right w:val="none" w:sz="0" w:space="0" w:color="auto"/>
      </w:divBdr>
    </w:div>
    <w:div w:id="969019671">
      <w:bodyDiv w:val="1"/>
      <w:marLeft w:val="0"/>
      <w:marRight w:val="0"/>
      <w:marTop w:val="0"/>
      <w:marBottom w:val="0"/>
      <w:divBdr>
        <w:top w:val="none" w:sz="0" w:space="0" w:color="auto"/>
        <w:left w:val="none" w:sz="0" w:space="0" w:color="auto"/>
        <w:bottom w:val="none" w:sz="0" w:space="0" w:color="auto"/>
        <w:right w:val="none" w:sz="0" w:space="0" w:color="auto"/>
      </w:divBdr>
    </w:div>
    <w:div w:id="997461667">
      <w:bodyDiv w:val="1"/>
      <w:marLeft w:val="0"/>
      <w:marRight w:val="0"/>
      <w:marTop w:val="0"/>
      <w:marBottom w:val="0"/>
      <w:divBdr>
        <w:top w:val="none" w:sz="0" w:space="0" w:color="auto"/>
        <w:left w:val="none" w:sz="0" w:space="0" w:color="auto"/>
        <w:bottom w:val="none" w:sz="0" w:space="0" w:color="auto"/>
        <w:right w:val="none" w:sz="0" w:space="0" w:color="auto"/>
      </w:divBdr>
    </w:div>
    <w:div w:id="997852012">
      <w:bodyDiv w:val="1"/>
      <w:marLeft w:val="0"/>
      <w:marRight w:val="0"/>
      <w:marTop w:val="0"/>
      <w:marBottom w:val="0"/>
      <w:divBdr>
        <w:top w:val="none" w:sz="0" w:space="0" w:color="auto"/>
        <w:left w:val="none" w:sz="0" w:space="0" w:color="auto"/>
        <w:bottom w:val="none" w:sz="0" w:space="0" w:color="auto"/>
        <w:right w:val="none" w:sz="0" w:space="0" w:color="auto"/>
      </w:divBdr>
    </w:div>
    <w:div w:id="1018968562">
      <w:bodyDiv w:val="1"/>
      <w:marLeft w:val="0"/>
      <w:marRight w:val="0"/>
      <w:marTop w:val="0"/>
      <w:marBottom w:val="0"/>
      <w:divBdr>
        <w:top w:val="none" w:sz="0" w:space="0" w:color="auto"/>
        <w:left w:val="none" w:sz="0" w:space="0" w:color="auto"/>
        <w:bottom w:val="none" w:sz="0" w:space="0" w:color="auto"/>
        <w:right w:val="none" w:sz="0" w:space="0" w:color="auto"/>
      </w:divBdr>
    </w:div>
    <w:div w:id="1064570931">
      <w:bodyDiv w:val="1"/>
      <w:marLeft w:val="0"/>
      <w:marRight w:val="0"/>
      <w:marTop w:val="0"/>
      <w:marBottom w:val="0"/>
      <w:divBdr>
        <w:top w:val="none" w:sz="0" w:space="0" w:color="auto"/>
        <w:left w:val="none" w:sz="0" w:space="0" w:color="auto"/>
        <w:bottom w:val="none" w:sz="0" w:space="0" w:color="auto"/>
        <w:right w:val="none" w:sz="0" w:space="0" w:color="auto"/>
      </w:divBdr>
    </w:div>
    <w:div w:id="1101417663">
      <w:bodyDiv w:val="1"/>
      <w:marLeft w:val="0"/>
      <w:marRight w:val="0"/>
      <w:marTop w:val="0"/>
      <w:marBottom w:val="0"/>
      <w:divBdr>
        <w:top w:val="none" w:sz="0" w:space="0" w:color="auto"/>
        <w:left w:val="none" w:sz="0" w:space="0" w:color="auto"/>
        <w:bottom w:val="none" w:sz="0" w:space="0" w:color="auto"/>
        <w:right w:val="none" w:sz="0" w:space="0" w:color="auto"/>
      </w:divBdr>
    </w:div>
    <w:div w:id="1105611255">
      <w:bodyDiv w:val="1"/>
      <w:marLeft w:val="0"/>
      <w:marRight w:val="0"/>
      <w:marTop w:val="0"/>
      <w:marBottom w:val="0"/>
      <w:divBdr>
        <w:top w:val="none" w:sz="0" w:space="0" w:color="auto"/>
        <w:left w:val="none" w:sz="0" w:space="0" w:color="auto"/>
        <w:bottom w:val="none" w:sz="0" w:space="0" w:color="auto"/>
        <w:right w:val="none" w:sz="0" w:space="0" w:color="auto"/>
      </w:divBdr>
    </w:div>
    <w:div w:id="1223372415">
      <w:bodyDiv w:val="1"/>
      <w:marLeft w:val="0"/>
      <w:marRight w:val="0"/>
      <w:marTop w:val="0"/>
      <w:marBottom w:val="0"/>
      <w:divBdr>
        <w:top w:val="none" w:sz="0" w:space="0" w:color="auto"/>
        <w:left w:val="none" w:sz="0" w:space="0" w:color="auto"/>
        <w:bottom w:val="none" w:sz="0" w:space="0" w:color="auto"/>
        <w:right w:val="none" w:sz="0" w:space="0" w:color="auto"/>
      </w:divBdr>
    </w:div>
    <w:div w:id="1232040149">
      <w:bodyDiv w:val="1"/>
      <w:marLeft w:val="0"/>
      <w:marRight w:val="0"/>
      <w:marTop w:val="0"/>
      <w:marBottom w:val="0"/>
      <w:divBdr>
        <w:top w:val="none" w:sz="0" w:space="0" w:color="auto"/>
        <w:left w:val="none" w:sz="0" w:space="0" w:color="auto"/>
        <w:bottom w:val="none" w:sz="0" w:space="0" w:color="auto"/>
        <w:right w:val="none" w:sz="0" w:space="0" w:color="auto"/>
      </w:divBdr>
    </w:div>
    <w:div w:id="1265185340">
      <w:bodyDiv w:val="1"/>
      <w:marLeft w:val="0"/>
      <w:marRight w:val="0"/>
      <w:marTop w:val="0"/>
      <w:marBottom w:val="0"/>
      <w:divBdr>
        <w:top w:val="none" w:sz="0" w:space="0" w:color="auto"/>
        <w:left w:val="none" w:sz="0" w:space="0" w:color="auto"/>
        <w:bottom w:val="none" w:sz="0" w:space="0" w:color="auto"/>
        <w:right w:val="none" w:sz="0" w:space="0" w:color="auto"/>
      </w:divBdr>
    </w:div>
    <w:div w:id="1285651394">
      <w:bodyDiv w:val="1"/>
      <w:marLeft w:val="0"/>
      <w:marRight w:val="0"/>
      <w:marTop w:val="0"/>
      <w:marBottom w:val="0"/>
      <w:divBdr>
        <w:top w:val="none" w:sz="0" w:space="0" w:color="auto"/>
        <w:left w:val="none" w:sz="0" w:space="0" w:color="auto"/>
        <w:bottom w:val="none" w:sz="0" w:space="0" w:color="auto"/>
        <w:right w:val="none" w:sz="0" w:space="0" w:color="auto"/>
      </w:divBdr>
    </w:div>
    <w:div w:id="1346975278">
      <w:bodyDiv w:val="1"/>
      <w:marLeft w:val="0"/>
      <w:marRight w:val="0"/>
      <w:marTop w:val="0"/>
      <w:marBottom w:val="0"/>
      <w:divBdr>
        <w:top w:val="none" w:sz="0" w:space="0" w:color="auto"/>
        <w:left w:val="none" w:sz="0" w:space="0" w:color="auto"/>
        <w:bottom w:val="none" w:sz="0" w:space="0" w:color="auto"/>
        <w:right w:val="none" w:sz="0" w:space="0" w:color="auto"/>
      </w:divBdr>
    </w:div>
    <w:div w:id="1372801149">
      <w:bodyDiv w:val="1"/>
      <w:marLeft w:val="0"/>
      <w:marRight w:val="0"/>
      <w:marTop w:val="0"/>
      <w:marBottom w:val="0"/>
      <w:divBdr>
        <w:top w:val="none" w:sz="0" w:space="0" w:color="auto"/>
        <w:left w:val="none" w:sz="0" w:space="0" w:color="auto"/>
        <w:bottom w:val="none" w:sz="0" w:space="0" w:color="auto"/>
        <w:right w:val="none" w:sz="0" w:space="0" w:color="auto"/>
      </w:divBdr>
    </w:div>
    <w:div w:id="1374963252">
      <w:bodyDiv w:val="1"/>
      <w:marLeft w:val="0"/>
      <w:marRight w:val="0"/>
      <w:marTop w:val="0"/>
      <w:marBottom w:val="0"/>
      <w:divBdr>
        <w:top w:val="none" w:sz="0" w:space="0" w:color="auto"/>
        <w:left w:val="none" w:sz="0" w:space="0" w:color="auto"/>
        <w:bottom w:val="none" w:sz="0" w:space="0" w:color="auto"/>
        <w:right w:val="none" w:sz="0" w:space="0" w:color="auto"/>
      </w:divBdr>
    </w:div>
    <w:div w:id="1398547659">
      <w:bodyDiv w:val="1"/>
      <w:marLeft w:val="0"/>
      <w:marRight w:val="0"/>
      <w:marTop w:val="0"/>
      <w:marBottom w:val="0"/>
      <w:divBdr>
        <w:top w:val="none" w:sz="0" w:space="0" w:color="auto"/>
        <w:left w:val="none" w:sz="0" w:space="0" w:color="auto"/>
        <w:bottom w:val="none" w:sz="0" w:space="0" w:color="auto"/>
        <w:right w:val="none" w:sz="0" w:space="0" w:color="auto"/>
      </w:divBdr>
    </w:div>
    <w:div w:id="1440223344">
      <w:bodyDiv w:val="1"/>
      <w:marLeft w:val="0"/>
      <w:marRight w:val="0"/>
      <w:marTop w:val="0"/>
      <w:marBottom w:val="0"/>
      <w:divBdr>
        <w:top w:val="none" w:sz="0" w:space="0" w:color="auto"/>
        <w:left w:val="none" w:sz="0" w:space="0" w:color="auto"/>
        <w:bottom w:val="none" w:sz="0" w:space="0" w:color="auto"/>
        <w:right w:val="none" w:sz="0" w:space="0" w:color="auto"/>
      </w:divBdr>
    </w:div>
    <w:div w:id="1449394880">
      <w:bodyDiv w:val="1"/>
      <w:marLeft w:val="0"/>
      <w:marRight w:val="0"/>
      <w:marTop w:val="0"/>
      <w:marBottom w:val="0"/>
      <w:divBdr>
        <w:top w:val="none" w:sz="0" w:space="0" w:color="auto"/>
        <w:left w:val="none" w:sz="0" w:space="0" w:color="auto"/>
        <w:bottom w:val="none" w:sz="0" w:space="0" w:color="auto"/>
        <w:right w:val="none" w:sz="0" w:space="0" w:color="auto"/>
      </w:divBdr>
    </w:div>
    <w:div w:id="1459762249">
      <w:bodyDiv w:val="1"/>
      <w:marLeft w:val="0"/>
      <w:marRight w:val="0"/>
      <w:marTop w:val="0"/>
      <w:marBottom w:val="0"/>
      <w:divBdr>
        <w:top w:val="none" w:sz="0" w:space="0" w:color="auto"/>
        <w:left w:val="none" w:sz="0" w:space="0" w:color="auto"/>
        <w:bottom w:val="none" w:sz="0" w:space="0" w:color="auto"/>
        <w:right w:val="none" w:sz="0" w:space="0" w:color="auto"/>
      </w:divBdr>
    </w:div>
    <w:div w:id="1500727155">
      <w:bodyDiv w:val="1"/>
      <w:marLeft w:val="0"/>
      <w:marRight w:val="0"/>
      <w:marTop w:val="0"/>
      <w:marBottom w:val="0"/>
      <w:divBdr>
        <w:top w:val="none" w:sz="0" w:space="0" w:color="auto"/>
        <w:left w:val="none" w:sz="0" w:space="0" w:color="auto"/>
        <w:bottom w:val="none" w:sz="0" w:space="0" w:color="auto"/>
        <w:right w:val="none" w:sz="0" w:space="0" w:color="auto"/>
      </w:divBdr>
    </w:div>
    <w:div w:id="1528568672">
      <w:bodyDiv w:val="1"/>
      <w:marLeft w:val="0"/>
      <w:marRight w:val="0"/>
      <w:marTop w:val="0"/>
      <w:marBottom w:val="0"/>
      <w:divBdr>
        <w:top w:val="none" w:sz="0" w:space="0" w:color="auto"/>
        <w:left w:val="none" w:sz="0" w:space="0" w:color="auto"/>
        <w:bottom w:val="none" w:sz="0" w:space="0" w:color="auto"/>
        <w:right w:val="none" w:sz="0" w:space="0" w:color="auto"/>
      </w:divBdr>
    </w:div>
    <w:div w:id="1578858124">
      <w:bodyDiv w:val="1"/>
      <w:marLeft w:val="0"/>
      <w:marRight w:val="0"/>
      <w:marTop w:val="0"/>
      <w:marBottom w:val="0"/>
      <w:divBdr>
        <w:top w:val="none" w:sz="0" w:space="0" w:color="auto"/>
        <w:left w:val="none" w:sz="0" w:space="0" w:color="auto"/>
        <w:bottom w:val="none" w:sz="0" w:space="0" w:color="auto"/>
        <w:right w:val="none" w:sz="0" w:space="0" w:color="auto"/>
      </w:divBdr>
    </w:div>
    <w:div w:id="1594164113">
      <w:bodyDiv w:val="1"/>
      <w:marLeft w:val="0"/>
      <w:marRight w:val="0"/>
      <w:marTop w:val="0"/>
      <w:marBottom w:val="0"/>
      <w:divBdr>
        <w:top w:val="none" w:sz="0" w:space="0" w:color="auto"/>
        <w:left w:val="none" w:sz="0" w:space="0" w:color="auto"/>
        <w:bottom w:val="none" w:sz="0" w:space="0" w:color="auto"/>
        <w:right w:val="none" w:sz="0" w:space="0" w:color="auto"/>
      </w:divBdr>
    </w:div>
    <w:div w:id="1601138603">
      <w:bodyDiv w:val="1"/>
      <w:marLeft w:val="0"/>
      <w:marRight w:val="0"/>
      <w:marTop w:val="0"/>
      <w:marBottom w:val="0"/>
      <w:divBdr>
        <w:top w:val="none" w:sz="0" w:space="0" w:color="auto"/>
        <w:left w:val="none" w:sz="0" w:space="0" w:color="auto"/>
        <w:bottom w:val="none" w:sz="0" w:space="0" w:color="auto"/>
        <w:right w:val="none" w:sz="0" w:space="0" w:color="auto"/>
      </w:divBdr>
    </w:div>
    <w:div w:id="1634674879">
      <w:bodyDiv w:val="1"/>
      <w:marLeft w:val="0"/>
      <w:marRight w:val="0"/>
      <w:marTop w:val="0"/>
      <w:marBottom w:val="0"/>
      <w:divBdr>
        <w:top w:val="none" w:sz="0" w:space="0" w:color="auto"/>
        <w:left w:val="none" w:sz="0" w:space="0" w:color="auto"/>
        <w:bottom w:val="none" w:sz="0" w:space="0" w:color="auto"/>
        <w:right w:val="none" w:sz="0" w:space="0" w:color="auto"/>
      </w:divBdr>
    </w:div>
    <w:div w:id="1639607681">
      <w:bodyDiv w:val="1"/>
      <w:marLeft w:val="0"/>
      <w:marRight w:val="0"/>
      <w:marTop w:val="0"/>
      <w:marBottom w:val="0"/>
      <w:divBdr>
        <w:top w:val="none" w:sz="0" w:space="0" w:color="auto"/>
        <w:left w:val="none" w:sz="0" w:space="0" w:color="auto"/>
        <w:bottom w:val="none" w:sz="0" w:space="0" w:color="auto"/>
        <w:right w:val="none" w:sz="0" w:space="0" w:color="auto"/>
      </w:divBdr>
    </w:div>
    <w:div w:id="1721634122">
      <w:bodyDiv w:val="1"/>
      <w:marLeft w:val="0"/>
      <w:marRight w:val="0"/>
      <w:marTop w:val="0"/>
      <w:marBottom w:val="0"/>
      <w:divBdr>
        <w:top w:val="none" w:sz="0" w:space="0" w:color="auto"/>
        <w:left w:val="none" w:sz="0" w:space="0" w:color="auto"/>
        <w:bottom w:val="none" w:sz="0" w:space="0" w:color="auto"/>
        <w:right w:val="none" w:sz="0" w:space="0" w:color="auto"/>
      </w:divBdr>
    </w:div>
    <w:div w:id="1729112743">
      <w:bodyDiv w:val="1"/>
      <w:marLeft w:val="0"/>
      <w:marRight w:val="0"/>
      <w:marTop w:val="0"/>
      <w:marBottom w:val="0"/>
      <w:divBdr>
        <w:top w:val="none" w:sz="0" w:space="0" w:color="auto"/>
        <w:left w:val="none" w:sz="0" w:space="0" w:color="auto"/>
        <w:bottom w:val="none" w:sz="0" w:space="0" w:color="auto"/>
        <w:right w:val="none" w:sz="0" w:space="0" w:color="auto"/>
      </w:divBdr>
    </w:div>
    <w:div w:id="1773936770">
      <w:bodyDiv w:val="1"/>
      <w:marLeft w:val="0"/>
      <w:marRight w:val="0"/>
      <w:marTop w:val="0"/>
      <w:marBottom w:val="0"/>
      <w:divBdr>
        <w:top w:val="none" w:sz="0" w:space="0" w:color="auto"/>
        <w:left w:val="none" w:sz="0" w:space="0" w:color="auto"/>
        <w:bottom w:val="none" w:sz="0" w:space="0" w:color="auto"/>
        <w:right w:val="none" w:sz="0" w:space="0" w:color="auto"/>
      </w:divBdr>
    </w:div>
    <w:div w:id="1781149133">
      <w:bodyDiv w:val="1"/>
      <w:marLeft w:val="0"/>
      <w:marRight w:val="0"/>
      <w:marTop w:val="0"/>
      <w:marBottom w:val="0"/>
      <w:divBdr>
        <w:top w:val="none" w:sz="0" w:space="0" w:color="auto"/>
        <w:left w:val="none" w:sz="0" w:space="0" w:color="auto"/>
        <w:bottom w:val="none" w:sz="0" w:space="0" w:color="auto"/>
        <w:right w:val="none" w:sz="0" w:space="0" w:color="auto"/>
      </w:divBdr>
    </w:div>
    <w:div w:id="1794127084">
      <w:bodyDiv w:val="1"/>
      <w:marLeft w:val="0"/>
      <w:marRight w:val="0"/>
      <w:marTop w:val="0"/>
      <w:marBottom w:val="0"/>
      <w:divBdr>
        <w:top w:val="none" w:sz="0" w:space="0" w:color="auto"/>
        <w:left w:val="none" w:sz="0" w:space="0" w:color="auto"/>
        <w:bottom w:val="none" w:sz="0" w:space="0" w:color="auto"/>
        <w:right w:val="none" w:sz="0" w:space="0" w:color="auto"/>
      </w:divBdr>
    </w:div>
    <w:div w:id="1828088907">
      <w:bodyDiv w:val="1"/>
      <w:marLeft w:val="0"/>
      <w:marRight w:val="0"/>
      <w:marTop w:val="0"/>
      <w:marBottom w:val="0"/>
      <w:divBdr>
        <w:top w:val="none" w:sz="0" w:space="0" w:color="auto"/>
        <w:left w:val="none" w:sz="0" w:space="0" w:color="auto"/>
        <w:bottom w:val="none" w:sz="0" w:space="0" w:color="auto"/>
        <w:right w:val="none" w:sz="0" w:space="0" w:color="auto"/>
      </w:divBdr>
    </w:div>
    <w:div w:id="1890797949">
      <w:bodyDiv w:val="1"/>
      <w:marLeft w:val="0"/>
      <w:marRight w:val="0"/>
      <w:marTop w:val="0"/>
      <w:marBottom w:val="0"/>
      <w:divBdr>
        <w:top w:val="none" w:sz="0" w:space="0" w:color="auto"/>
        <w:left w:val="none" w:sz="0" w:space="0" w:color="auto"/>
        <w:bottom w:val="none" w:sz="0" w:space="0" w:color="auto"/>
        <w:right w:val="none" w:sz="0" w:space="0" w:color="auto"/>
      </w:divBdr>
    </w:div>
    <w:div w:id="1936864012">
      <w:bodyDiv w:val="1"/>
      <w:marLeft w:val="0"/>
      <w:marRight w:val="0"/>
      <w:marTop w:val="0"/>
      <w:marBottom w:val="0"/>
      <w:divBdr>
        <w:top w:val="none" w:sz="0" w:space="0" w:color="auto"/>
        <w:left w:val="none" w:sz="0" w:space="0" w:color="auto"/>
        <w:bottom w:val="none" w:sz="0" w:space="0" w:color="auto"/>
        <w:right w:val="none" w:sz="0" w:space="0" w:color="auto"/>
      </w:divBdr>
    </w:div>
    <w:div w:id="1964191196">
      <w:bodyDiv w:val="1"/>
      <w:marLeft w:val="0"/>
      <w:marRight w:val="0"/>
      <w:marTop w:val="0"/>
      <w:marBottom w:val="0"/>
      <w:divBdr>
        <w:top w:val="none" w:sz="0" w:space="0" w:color="auto"/>
        <w:left w:val="none" w:sz="0" w:space="0" w:color="auto"/>
        <w:bottom w:val="none" w:sz="0" w:space="0" w:color="auto"/>
        <w:right w:val="none" w:sz="0" w:space="0" w:color="auto"/>
      </w:divBdr>
    </w:div>
    <w:div w:id="1987467552">
      <w:bodyDiv w:val="1"/>
      <w:marLeft w:val="0"/>
      <w:marRight w:val="0"/>
      <w:marTop w:val="0"/>
      <w:marBottom w:val="0"/>
      <w:divBdr>
        <w:top w:val="none" w:sz="0" w:space="0" w:color="auto"/>
        <w:left w:val="none" w:sz="0" w:space="0" w:color="auto"/>
        <w:bottom w:val="none" w:sz="0" w:space="0" w:color="auto"/>
        <w:right w:val="none" w:sz="0" w:space="0" w:color="auto"/>
      </w:divBdr>
    </w:div>
    <w:div w:id="2013801717">
      <w:bodyDiv w:val="1"/>
      <w:marLeft w:val="0"/>
      <w:marRight w:val="0"/>
      <w:marTop w:val="0"/>
      <w:marBottom w:val="0"/>
      <w:divBdr>
        <w:top w:val="none" w:sz="0" w:space="0" w:color="auto"/>
        <w:left w:val="none" w:sz="0" w:space="0" w:color="auto"/>
        <w:bottom w:val="none" w:sz="0" w:space="0" w:color="auto"/>
        <w:right w:val="none" w:sz="0" w:space="0" w:color="auto"/>
      </w:divBdr>
    </w:div>
    <w:div w:id="2030521112">
      <w:bodyDiv w:val="1"/>
      <w:marLeft w:val="0"/>
      <w:marRight w:val="0"/>
      <w:marTop w:val="0"/>
      <w:marBottom w:val="0"/>
      <w:divBdr>
        <w:top w:val="none" w:sz="0" w:space="0" w:color="auto"/>
        <w:left w:val="none" w:sz="0" w:space="0" w:color="auto"/>
        <w:bottom w:val="none" w:sz="0" w:space="0" w:color="auto"/>
        <w:right w:val="none" w:sz="0" w:space="0" w:color="auto"/>
      </w:divBdr>
    </w:div>
    <w:div w:id="2107335711">
      <w:bodyDiv w:val="1"/>
      <w:marLeft w:val="0"/>
      <w:marRight w:val="0"/>
      <w:marTop w:val="0"/>
      <w:marBottom w:val="0"/>
      <w:divBdr>
        <w:top w:val="none" w:sz="0" w:space="0" w:color="auto"/>
        <w:left w:val="none" w:sz="0" w:space="0" w:color="auto"/>
        <w:bottom w:val="none" w:sz="0" w:space="0" w:color="auto"/>
        <w:right w:val="none" w:sz="0" w:space="0" w:color="auto"/>
      </w:divBdr>
    </w:div>
    <w:div w:id="2108235490">
      <w:bodyDiv w:val="1"/>
      <w:marLeft w:val="0"/>
      <w:marRight w:val="0"/>
      <w:marTop w:val="0"/>
      <w:marBottom w:val="0"/>
      <w:divBdr>
        <w:top w:val="none" w:sz="0" w:space="0" w:color="auto"/>
        <w:left w:val="none" w:sz="0" w:space="0" w:color="auto"/>
        <w:bottom w:val="none" w:sz="0" w:space="0" w:color="auto"/>
        <w:right w:val="none" w:sz="0" w:space="0" w:color="auto"/>
      </w:divBdr>
    </w:div>
    <w:div w:id="2116056088">
      <w:bodyDiv w:val="1"/>
      <w:marLeft w:val="0"/>
      <w:marRight w:val="0"/>
      <w:marTop w:val="0"/>
      <w:marBottom w:val="0"/>
      <w:divBdr>
        <w:top w:val="none" w:sz="0" w:space="0" w:color="auto"/>
        <w:left w:val="none" w:sz="0" w:space="0" w:color="auto"/>
        <w:bottom w:val="none" w:sz="0" w:space="0" w:color="auto"/>
        <w:right w:val="none" w:sz="0" w:space="0" w:color="auto"/>
      </w:divBdr>
    </w:div>
    <w:div w:id="21275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mpulso.queretaro.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4D19-35E8-4209-8B77-52C44DAF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16887</Words>
  <Characters>92884</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Rebolledo Aguilar, Dulce María</dc:creator>
  <cp:keywords/>
  <dc:description/>
  <cp:lastModifiedBy>Rebolledo Aguilar, Dulce María</cp:lastModifiedBy>
  <cp:revision>17</cp:revision>
  <cp:lastPrinted>2025-02-28T16:59:00Z</cp:lastPrinted>
  <dcterms:created xsi:type="dcterms:W3CDTF">2025-02-18T01:11:00Z</dcterms:created>
  <dcterms:modified xsi:type="dcterms:W3CDTF">2025-02-28T16:59:00Z</dcterms:modified>
</cp:coreProperties>
</file>